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94" w:rsidRDefault="00D24F94" w:rsidP="00DF7B16">
      <w:pPr>
        <w:jc w:val="both"/>
        <w:rPr>
          <w:rFonts w:ascii="Arial" w:hAnsi="Arial" w:cs="Arial"/>
          <w:sz w:val="48"/>
          <w:szCs w:val="48"/>
        </w:rPr>
      </w:pPr>
      <w:bookmarkStart w:id="0" w:name="_GoBack"/>
      <w:bookmarkEnd w:id="0"/>
    </w:p>
    <w:p w:rsidR="00D24F94" w:rsidRDefault="00D24F94" w:rsidP="00DF7B16">
      <w:pPr>
        <w:jc w:val="both"/>
        <w:rPr>
          <w:rFonts w:ascii="Arial" w:hAnsi="Arial" w:cs="Arial"/>
          <w:sz w:val="48"/>
          <w:szCs w:val="48"/>
        </w:rPr>
      </w:pPr>
    </w:p>
    <w:p w:rsidR="00D24F94" w:rsidRDefault="00D24F94" w:rsidP="00DF7B16">
      <w:pPr>
        <w:jc w:val="both"/>
        <w:rPr>
          <w:rFonts w:ascii="Arial" w:hAnsi="Arial" w:cs="Arial"/>
          <w:sz w:val="48"/>
          <w:szCs w:val="48"/>
        </w:rPr>
      </w:pPr>
    </w:p>
    <w:p w:rsidR="00D24F94" w:rsidRDefault="00D24F94" w:rsidP="00DF7B16">
      <w:pPr>
        <w:jc w:val="both"/>
        <w:rPr>
          <w:rFonts w:ascii="Arial" w:hAnsi="Arial" w:cs="Arial"/>
          <w:sz w:val="48"/>
          <w:szCs w:val="48"/>
        </w:rPr>
      </w:pPr>
    </w:p>
    <w:p w:rsidR="00D24F94" w:rsidRPr="00D24F94" w:rsidRDefault="00D24F94" w:rsidP="00DF7B16">
      <w:pPr>
        <w:jc w:val="both"/>
        <w:rPr>
          <w:rFonts w:ascii="Arial" w:hAnsi="Arial" w:cs="Arial"/>
          <w:b/>
          <w:sz w:val="52"/>
          <w:szCs w:val="52"/>
        </w:rPr>
      </w:pPr>
      <w:r w:rsidRPr="00D24F94">
        <w:rPr>
          <w:rFonts w:ascii="Arial" w:hAnsi="Arial" w:cs="Arial"/>
          <w:b/>
          <w:sz w:val="52"/>
          <w:szCs w:val="52"/>
        </w:rPr>
        <w:t>Desde o ano 2009 baixaron os salarios e medrou a desigualdade.</w:t>
      </w:r>
    </w:p>
    <w:p w:rsidR="00D24F94" w:rsidRDefault="00D24F94" w:rsidP="00DF7B16">
      <w:pPr>
        <w:jc w:val="both"/>
        <w:rPr>
          <w:rFonts w:ascii="Arial" w:hAnsi="Arial" w:cs="Arial"/>
          <w:sz w:val="48"/>
          <w:szCs w:val="48"/>
        </w:rPr>
      </w:pPr>
    </w:p>
    <w:p w:rsidR="00D24F94" w:rsidRDefault="00D24F94" w:rsidP="00DF7B16">
      <w:pPr>
        <w:jc w:val="both"/>
        <w:rPr>
          <w:rFonts w:ascii="Arial" w:hAnsi="Arial" w:cs="Arial"/>
          <w:sz w:val="48"/>
          <w:szCs w:val="48"/>
        </w:rPr>
      </w:pPr>
    </w:p>
    <w:p w:rsidR="00D24F94" w:rsidRDefault="00D24F94" w:rsidP="00DF7B16">
      <w:pPr>
        <w:jc w:val="both"/>
        <w:rPr>
          <w:rFonts w:ascii="Arial" w:hAnsi="Arial" w:cs="Arial"/>
          <w:sz w:val="48"/>
          <w:szCs w:val="48"/>
        </w:rPr>
      </w:pPr>
    </w:p>
    <w:p w:rsidR="00D24F94" w:rsidRDefault="00D24F94" w:rsidP="00DF7B16">
      <w:pPr>
        <w:jc w:val="both"/>
        <w:rPr>
          <w:rFonts w:ascii="Arial" w:hAnsi="Arial" w:cs="Arial"/>
          <w:sz w:val="48"/>
          <w:szCs w:val="48"/>
        </w:rPr>
      </w:pPr>
    </w:p>
    <w:p w:rsidR="00D24F94" w:rsidRDefault="00D24F94" w:rsidP="00DF7B16">
      <w:pPr>
        <w:jc w:val="both"/>
        <w:rPr>
          <w:rFonts w:ascii="Arial" w:hAnsi="Arial" w:cs="Arial"/>
          <w:sz w:val="48"/>
          <w:szCs w:val="48"/>
        </w:rPr>
      </w:pPr>
    </w:p>
    <w:p w:rsidR="00D24F94" w:rsidRDefault="00D24F94" w:rsidP="00D24F94">
      <w:pPr>
        <w:jc w:val="right"/>
        <w:rPr>
          <w:rFonts w:ascii="Arial" w:hAnsi="Arial" w:cs="Arial"/>
          <w:b/>
          <w:sz w:val="48"/>
          <w:szCs w:val="48"/>
        </w:rPr>
      </w:pPr>
      <w:r>
        <w:rPr>
          <w:rFonts w:ascii="Lucida Handwriting" w:hAnsi="Lucida Handwriting"/>
          <w:noProof/>
          <w:sz w:val="52"/>
        </w:rPr>
        <w:drawing>
          <wp:inline distT="0" distB="0" distL="0" distR="0">
            <wp:extent cx="1943100" cy="1038225"/>
            <wp:effectExtent l="0" t="0" r="0" b="0"/>
            <wp:docPr id="7" name="Imagen 1" descr="logo cig cop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ig copi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F94" w:rsidRDefault="00D24F94" w:rsidP="00D24F94">
      <w:pPr>
        <w:rPr>
          <w:rFonts w:ascii="Arial" w:hAnsi="Arial" w:cs="Arial"/>
          <w:b/>
          <w:sz w:val="48"/>
          <w:szCs w:val="48"/>
        </w:rPr>
      </w:pPr>
    </w:p>
    <w:p w:rsidR="00D24F94" w:rsidRDefault="00D24F94" w:rsidP="00D24F94">
      <w:pPr>
        <w:jc w:val="right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Gabinete Técnico confederal</w:t>
      </w:r>
    </w:p>
    <w:p w:rsidR="00E53C8C" w:rsidRPr="00E53C8C" w:rsidRDefault="00E53C8C" w:rsidP="00DF7B16">
      <w:pPr>
        <w:jc w:val="both"/>
        <w:rPr>
          <w:rFonts w:ascii="Arial" w:hAnsi="Arial" w:cs="Arial"/>
          <w:sz w:val="24"/>
          <w:szCs w:val="24"/>
        </w:rPr>
      </w:pPr>
    </w:p>
    <w:p w:rsidR="009A370F" w:rsidRPr="009A370F" w:rsidRDefault="009A370F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partir dos datos da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595735" w:rsidRPr="00595735">
        <w:rPr>
          <w:rFonts w:ascii="Arial" w:hAnsi="Arial" w:cs="Arial"/>
          <w:sz w:val="24"/>
          <w:szCs w:val="24"/>
        </w:rPr>
        <w:t xml:space="preserve">Declaración </w:t>
      </w:r>
      <w:r w:rsidR="00873EB1">
        <w:rPr>
          <w:rFonts w:ascii="Arial" w:hAnsi="Arial" w:cs="Arial"/>
          <w:sz w:val="24"/>
          <w:szCs w:val="24"/>
        </w:rPr>
        <w:t>a</w:t>
      </w:r>
      <w:r w:rsidR="00595735" w:rsidRPr="00595735">
        <w:rPr>
          <w:rFonts w:ascii="Arial" w:hAnsi="Arial" w:cs="Arial"/>
          <w:sz w:val="24"/>
          <w:szCs w:val="24"/>
        </w:rPr>
        <w:t xml:space="preserve">nual de </w:t>
      </w:r>
      <w:r w:rsidR="00873EB1">
        <w:rPr>
          <w:rFonts w:ascii="Arial" w:hAnsi="Arial" w:cs="Arial"/>
          <w:sz w:val="24"/>
          <w:szCs w:val="24"/>
        </w:rPr>
        <w:t>r</w:t>
      </w:r>
      <w:r w:rsidR="00595735" w:rsidRPr="00595735">
        <w:rPr>
          <w:rFonts w:ascii="Arial" w:hAnsi="Arial" w:cs="Arial"/>
          <w:sz w:val="24"/>
          <w:szCs w:val="24"/>
        </w:rPr>
        <w:t>etencións e ingresos a conta sobre rendementos do traballo, de determinadas actividades económicas, premios e determinadas imputacións de renda (modelo 190)</w:t>
      </w:r>
      <w:r w:rsidR="00873EB1">
        <w:rPr>
          <w:rFonts w:ascii="Arial" w:hAnsi="Arial" w:cs="Arial"/>
          <w:sz w:val="24"/>
          <w:szCs w:val="24"/>
        </w:rPr>
        <w:t>,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 Axencia Tributaria elabora t</w:t>
      </w:r>
      <w:r w:rsidR="00873EB1">
        <w:rPr>
          <w:rFonts w:ascii="Arial" w:hAnsi="Arial" w:cs="Arial"/>
          <w:sz w:val="24"/>
          <w:szCs w:val="24"/>
        </w:rPr>
        <w:t>odos o</w:t>
      </w:r>
      <w:r>
        <w:rPr>
          <w:rFonts w:ascii="Arial" w:hAnsi="Arial" w:cs="Arial"/>
          <w:sz w:val="24"/>
          <w:szCs w:val="24"/>
        </w:rPr>
        <w:t>s anos unha estatística sobre os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Pr="009A370F">
        <w:rPr>
          <w:rFonts w:ascii="Arial" w:hAnsi="Arial" w:cs="Arial"/>
          <w:sz w:val="24"/>
          <w:szCs w:val="24"/>
        </w:rPr>
        <w:t>ingresos dos asalariados</w:t>
      </w:r>
      <w:r w:rsidR="00873EB1">
        <w:rPr>
          <w:rFonts w:ascii="Arial" w:hAnsi="Arial" w:cs="Arial"/>
          <w:sz w:val="24"/>
          <w:szCs w:val="24"/>
        </w:rPr>
        <w:t>/as</w:t>
      </w:r>
      <w:r w:rsidRPr="009A370F">
        <w:rPr>
          <w:rFonts w:ascii="Arial" w:hAnsi="Arial" w:cs="Arial"/>
          <w:sz w:val="24"/>
          <w:szCs w:val="24"/>
        </w:rPr>
        <w:t>, desempregados</w:t>
      </w:r>
      <w:r w:rsidR="00873EB1">
        <w:rPr>
          <w:rFonts w:ascii="Arial" w:hAnsi="Arial" w:cs="Arial"/>
          <w:sz w:val="24"/>
          <w:szCs w:val="24"/>
        </w:rPr>
        <w:t>/as</w:t>
      </w:r>
      <w:r w:rsidRPr="009A370F">
        <w:rPr>
          <w:rFonts w:ascii="Arial" w:hAnsi="Arial" w:cs="Arial"/>
          <w:sz w:val="24"/>
          <w:szCs w:val="24"/>
        </w:rPr>
        <w:t xml:space="preserve"> e pensionistas do </w:t>
      </w:r>
      <w:r w:rsidR="00873EB1">
        <w:rPr>
          <w:rFonts w:ascii="Arial" w:hAnsi="Arial" w:cs="Arial"/>
          <w:sz w:val="24"/>
          <w:szCs w:val="24"/>
        </w:rPr>
        <w:t>E</w:t>
      </w:r>
      <w:r w:rsidRPr="009A370F">
        <w:rPr>
          <w:rFonts w:ascii="Arial" w:hAnsi="Arial" w:cs="Arial"/>
          <w:sz w:val="24"/>
          <w:szCs w:val="24"/>
        </w:rPr>
        <w:t>stado español.</w:t>
      </w:r>
    </w:p>
    <w:p w:rsidR="00595735" w:rsidRPr="00595735" w:rsidRDefault="009A370F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É,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595735" w:rsidRPr="00595735">
        <w:rPr>
          <w:rFonts w:ascii="Arial" w:hAnsi="Arial" w:cs="Arial"/>
          <w:sz w:val="24"/>
          <w:szCs w:val="24"/>
        </w:rPr>
        <w:t>polo tanto, unha bas</w:t>
      </w:r>
      <w:r w:rsidR="00873EB1">
        <w:rPr>
          <w:rFonts w:ascii="Arial" w:hAnsi="Arial" w:cs="Arial"/>
          <w:sz w:val="24"/>
          <w:szCs w:val="24"/>
        </w:rPr>
        <w:t>e moi exhaustiva de información. T</w:t>
      </w:r>
      <w:r w:rsidR="00595735" w:rsidRPr="00595735">
        <w:rPr>
          <w:rFonts w:ascii="Arial" w:hAnsi="Arial" w:cs="Arial"/>
          <w:sz w:val="24"/>
          <w:szCs w:val="24"/>
        </w:rPr>
        <w:t>rátase</w:t>
      </w:r>
      <w:r w:rsidR="00873EB1">
        <w:rPr>
          <w:rFonts w:ascii="Arial" w:hAnsi="Arial" w:cs="Arial"/>
          <w:sz w:val="24"/>
          <w:szCs w:val="24"/>
        </w:rPr>
        <w:t>,</w:t>
      </w:r>
      <w:r w:rsidR="00595735" w:rsidRPr="00595735">
        <w:rPr>
          <w:rFonts w:ascii="Arial" w:hAnsi="Arial" w:cs="Arial"/>
          <w:sz w:val="24"/>
          <w:szCs w:val="24"/>
        </w:rPr>
        <w:t xml:space="preserve"> ademais, dunha declaración que non posúe ningún suposto de exención da obriga de declarar. Así t</w:t>
      </w:r>
      <w:r w:rsidR="00873EB1">
        <w:rPr>
          <w:rFonts w:ascii="Arial" w:hAnsi="Arial" w:cs="Arial"/>
          <w:sz w:val="24"/>
          <w:szCs w:val="24"/>
        </w:rPr>
        <w:t xml:space="preserve">odas as </w:t>
      </w:r>
      <w:r w:rsidR="00595735" w:rsidRPr="00595735">
        <w:rPr>
          <w:rFonts w:ascii="Arial" w:hAnsi="Arial" w:cs="Arial"/>
          <w:sz w:val="24"/>
          <w:szCs w:val="24"/>
        </w:rPr>
        <w:t xml:space="preserve">entidades </w:t>
      </w:r>
      <w:r w:rsidR="00873EB1">
        <w:rPr>
          <w:rFonts w:ascii="Arial" w:hAnsi="Arial" w:cs="Arial"/>
          <w:sz w:val="24"/>
          <w:szCs w:val="24"/>
        </w:rPr>
        <w:t>-</w:t>
      </w:r>
      <w:r w:rsidR="00595735" w:rsidRPr="00595735">
        <w:rPr>
          <w:rFonts w:ascii="Arial" w:hAnsi="Arial" w:cs="Arial"/>
          <w:sz w:val="24"/>
          <w:szCs w:val="24"/>
        </w:rPr>
        <w:t>incluídas administracións públicas</w:t>
      </w:r>
      <w:r w:rsidR="00873EB1">
        <w:rPr>
          <w:rFonts w:ascii="Arial" w:hAnsi="Arial" w:cs="Arial"/>
          <w:sz w:val="24"/>
          <w:szCs w:val="24"/>
        </w:rPr>
        <w:t>-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595735" w:rsidRPr="00595735">
        <w:rPr>
          <w:rFonts w:ascii="Arial" w:hAnsi="Arial" w:cs="Arial"/>
          <w:sz w:val="24"/>
          <w:szCs w:val="24"/>
        </w:rPr>
        <w:t>que pagan salarios, pensións ou prestacións por desemprego están obrigadas a presentar o modelo, con independencia da personalidade, a actividade, a dimensión ou o carácter público ou privado d</w:t>
      </w:r>
      <w:r w:rsidR="00873EB1">
        <w:rPr>
          <w:rFonts w:ascii="Arial" w:hAnsi="Arial" w:cs="Arial"/>
          <w:sz w:val="24"/>
          <w:szCs w:val="24"/>
        </w:rPr>
        <w:t xml:space="preserve">estas, </w:t>
      </w:r>
      <w:r w:rsidR="00595735" w:rsidRPr="00595735">
        <w:rPr>
          <w:rFonts w:ascii="Arial" w:hAnsi="Arial" w:cs="Arial"/>
          <w:sz w:val="24"/>
          <w:szCs w:val="24"/>
        </w:rPr>
        <w:t>polo que a información é exhaustiva e moi detallada.</w:t>
      </w:r>
    </w:p>
    <w:p w:rsidR="0064373A" w:rsidRDefault="009B112B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</w:t>
      </w:r>
      <w:r w:rsidR="00873EB1">
        <w:rPr>
          <w:rFonts w:ascii="Arial" w:hAnsi="Arial" w:cs="Arial"/>
          <w:sz w:val="24"/>
          <w:szCs w:val="24"/>
        </w:rPr>
        <w:t xml:space="preserve">odos </w:t>
      </w:r>
      <w:r>
        <w:rPr>
          <w:rFonts w:ascii="Arial" w:hAnsi="Arial" w:cs="Arial"/>
          <w:sz w:val="24"/>
          <w:szCs w:val="24"/>
        </w:rPr>
        <w:t xml:space="preserve">os </w:t>
      </w:r>
      <w:r w:rsidR="00873EB1">
        <w:rPr>
          <w:rFonts w:ascii="Arial" w:hAnsi="Arial" w:cs="Arial"/>
          <w:sz w:val="24"/>
          <w:szCs w:val="24"/>
        </w:rPr>
        <w:t xml:space="preserve">está a falarse </w:t>
      </w:r>
      <w:r>
        <w:rPr>
          <w:rFonts w:ascii="Arial" w:hAnsi="Arial" w:cs="Arial"/>
          <w:sz w:val="24"/>
          <w:szCs w:val="24"/>
        </w:rPr>
        <w:t>de ingresos medios</w:t>
      </w:r>
      <w:r w:rsidR="00873EB1">
        <w:rPr>
          <w:rFonts w:ascii="Arial" w:hAnsi="Arial" w:cs="Arial"/>
          <w:sz w:val="24"/>
          <w:szCs w:val="24"/>
        </w:rPr>
        <w:t>,</w:t>
      </w:r>
      <w:r w:rsidR="00AA7C60">
        <w:rPr>
          <w:rFonts w:ascii="Arial" w:hAnsi="Arial" w:cs="Arial"/>
          <w:sz w:val="24"/>
          <w:szCs w:val="24"/>
        </w:rPr>
        <w:t xml:space="preserve"> é dicir, do cociente entre  masa declarada de rendementos do traballo dividido polo número de perceptores, sen ter en conta o tempo traballado</w:t>
      </w:r>
      <w:r w:rsidR="00873EB1">
        <w:rPr>
          <w:rFonts w:ascii="Arial" w:hAnsi="Arial" w:cs="Arial"/>
          <w:sz w:val="24"/>
          <w:szCs w:val="24"/>
        </w:rPr>
        <w:t>. P</w:t>
      </w:r>
      <w:r w:rsidR="00AA7C60">
        <w:rPr>
          <w:rFonts w:ascii="Arial" w:hAnsi="Arial" w:cs="Arial"/>
          <w:sz w:val="24"/>
          <w:szCs w:val="24"/>
        </w:rPr>
        <w:t>olo tanto</w:t>
      </w:r>
      <w:r w:rsidR="00873EB1">
        <w:rPr>
          <w:rFonts w:ascii="Arial" w:hAnsi="Arial" w:cs="Arial"/>
          <w:sz w:val="24"/>
          <w:szCs w:val="24"/>
        </w:rPr>
        <w:t>,</w:t>
      </w:r>
      <w:r w:rsidR="00AA7C60">
        <w:rPr>
          <w:rFonts w:ascii="Arial" w:hAnsi="Arial" w:cs="Arial"/>
          <w:sz w:val="24"/>
          <w:szCs w:val="24"/>
        </w:rPr>
        <w:t xml:space="preserve"> non se pode confundir con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AA7C60">
        <w:rPr>
          <w:rFonts w:ascii="Arial" w:hAnsi="Arial" w:cs="Arial"/>
          <w:sz w:val="24"/>
          <w:szCs w:val="24"/>
        </w:rPr>
        <w:t>outras estatísticas onde o denominador é o número medio de asalariados</w:t>
      </w:r>
      <w:r w:rsidR="00873EB1">
        <w:rPr>
          <w:rFonts w:ascii="Arial" w:hAnsi="Arial" w:cs="Arial"/>
          <w:sz w:val="24"/>
          <w:szCs w:val="24"/>
        </w:rPr>
        <w:t>/as</w:t>
      </w:r>
      <w:r w:rsidR="00AA7C60">
        <w:rPr>
          <w:rFonts w:ascii="Arial" w:hAnsi="Arial" w:cs="Arial"/>
          <w:sz w:val="24"/>
          <w:szCs w:val="24"/>
        </w:rPr>
        <w:t>.</w:t>
      </w:r>
    </w:p>
    <w:p w:rsidR="00AA7C60" w:rsidRDefault="00AA7C60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Igualmente,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1A6B0B">
        <w:rPr>
          <w:rFonts w:ascii="Arial" w:hAnsi="Arial" w:cs="Arial"/>
          <w:sz w:val="24"/>
          <w:szCs w:val="24"/>
        </w:rPr>
        <w:t xml:space="preserve">cando se divide o número de asalariados/as por tramos de ingresos en relación </w:t>
      </w:r>
      <w:r w:rsidR="00873EB1">
        <w:rPr>
          <w:rFonts w:ascii="Arial" w:hAnsi="Arial" w:cs="Arial"/>
          <w:sz w:val="24"/>
          <w:szCs w:val="24"/>
        </w:rPr>
        <w:t>ao</w:t>
      </w:r>
      <w:r w:rsidR="001A6B0B">
        <w:rPr>
          <w:rFonts w:ascii="Arial" w:hAnsi="Arial" w:cs="Arial"/>
          <w:sz w:val="24"/>
          <w:szCs w:val="24"/>
        </w:rPr>
        <w:t xml:space="preserve"> SMI (Salario Mínimo Interprofesional), non podemos dicir que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1A6B0B">
        <w:rPr>
          <w:rFonts w:ascii="Arial" w:hAnsi="Arial" w:cs="Arial"/>
          <w:sz w:val="24"/>
          <w:szCs w:val="24"/>
        </w:rPr>
        <w:t>os asalariados e asalariadas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1A6B0B">
        <w:rPr>
          <w:rFonts w:ascii="Arial" w:hAnsi="Arial" w:cs="Arial"/>
          <w:sz w:val="24"/>
          <w:szCs w:val="24"/>
        </w:rPr>
        <w:t>dos tramos máis baixos percib</w:t>
      </w:r>
      <w:r w:rsidR="00873EB1">
        <w:rPr>
          <w:rFonts w:ascii="Arial" w:hAnsi="Arial" w:cs="Arial"/>
          <w:sz w:val="24"/>
          <w:szCs w:val="24"/>
        </w:rPr>
        <w:t>a</w:t>
      </w:r>
      <w:r w:rsidR="001A6B0B">
        <w:rPr>
          <w:rFonts w:ascii="Arial" w:hAnsi="Arial" w:cs="Arial"/>
          <w:sz w:val="24"/>
          <w:szCs w:val="24"/>
        </w:rPr>
        <w:t xml:space="preserve">n un salario inferior </w:t>
      </w:r>
      <w:r w:rsidR="00873EB1">
        <w:rPr>
          <w:rFonts w:ascii="Arial" w:hAnsi="Arial" w:cs="Arial"/>
          <w:sz w:val="24"/>
          <w:szCs w:val="24"/>
        </w:rPr>
        <w:t>ao</w:t>
      </w:r>
      <w:r w:rsidR="001A6B0B">
        <w:rPr>
          <w:rFonts w:ascii="Arial" w:hAnsi="Arial" w:cs="Arial"/>
          <w:sz w:val="24"/>
          <w:szCs w:val="24"/>
        </w:rPr>
        <w:t xml:space="preserve"> SMI, xa que este tramo recolle </w:t>
      </w:r>
      <w:r w:rsidR="00873EB1">
        <w:rPr>
          <w:rFonts w:ascii="Arial" w:hAnsi="Arial" w:cs="Arial"/>
          <w:sz w:val="24"/>
          <w:szCs w:val="24"/>
        </w:rPr>
        <w:t>o</w:t>
      </w:r>
      <w:r w:rsidR="001A6B0B">
        <w:rPr>
          <w:rFonts w:ascii="Arial" w:hAnsi="Arial" w:cs="Arial"/>
          <w:sz w:val="24"/>
          <w:szCs w:val="24"/>
        </w:rPr>
        <w:t>s</w:t>
      </w:r>
      <w:r w:rsidR="00873EB1">
        <w:rPr>
          <w:rFonts w:ascii="Arial" w:hAnsi="Arial" w:cs="Arial"/>
          <w:sz w:val="24"/>
          <w:szCs w:val="24"/>
        </w:rPr>
        <w:t>/as</w:t>
      </w:r>
      <w:r w:rsidR="001A6B0B">
        <w:rPr>
          <w:rFonts w:ascii="Arial" w:hAnsi="Arial" w:cs="Arial"/>
          <w:sz w:val="24"/>
          <w:szCs w:val="24"/>
        </w:rPr>
        <w:t xml:space="preserve"> traballadores/as que s</w:t>
      </w:r>
      <w:r w:rsidR="00873EB1">
        <w:rPr>
          <w:rFonts w:ascii="Arial" w:hAnsi="Arial" w:cs="Arial"/>
          <w:sz w:val="24"/>
          <w:szCs w:val="24"/>
        </w:rPr>
        <w:t>ó</w:t>
      </w:r>
      <w:r w:rsidR="001A6B0B">
        <w:rPr>
          <w:rFonts w:ascii="Arial" w:hAnsi="Arial" w:cs="Arial"/>
          <w:sz w:val="24"/>
          <w:szCs w:val="24"/>
        </w:rPr>
        <w:t xml:space="preserve"> traballaron unha fracción do ano, e a súa masa de retribucións inclúe nada máis que as retribucións p</w:t>
      </w:r>
      <w:r w:rsidR="00873EB1">
        <w:rPr>
          <w:rFonts w:ascii="Arial" w:hAnsi="Arial" w:cs="Arial"/>
          <w:sz w:val="24"/>
          <w:szCs w:val="24"/>
        </w:rPr>
        <w:t>ercibidas polo tempo traballado,</w:t>
      </w:r>
      <w:r w:rsidR="001A6B0B">
        <w:rPr>
          <w:rFonts w:ascii="Arial" w:hAnsi="Arial" w:cs="Arial"/>
          <w:sz w:val="24"/>
          <w:szCs w:val="24"/>
        </w:rPr>
        <w:t xml:space="preserve"> pero si é indicativo dos ingresos que percibiron.</w:t>
      </w:r>
      <w:r w:rsidR="00042EA8">
        <w:rPr>
          <w:rFonts w:ascii="Arial" w:hAnsi="Arial" w:cs="Arial"/>
          <w:sz w:val="24"/>
          <w:szCs w:val="24"/>
        </w:rPr>
        <w:t xml:space="preserve"> En todo caso, </w:t>
      </w:r>
      <w:r w:rsidR="00873EB1">
        <w:rPr>
          <w:rFonts w:ascii="Arial" w:hAnsi="Arial" w:cs="Arial"/>
          <w:sz w:val="24"/>
          <w:szCs w:val="24"/>
        </w:rPr>
        <w:t>a</w:t>
      </w:r>
      <w:r w:rsidR="00042EA8">
        <w:rPr>
          <w:rFonts w:ascii="Arial" w:hAnsi="Arial" w:cs="Arial"/>
          <w:sz w:val="24"/>
          <w:szCs w:val="24"/>
        </w:rPr>
        <w:t xml:space="preserve">o longo do documento </w:t>
      </w:r>
      <w:r w:rsidR="00873EB1">
        <w:rPr>
          <w:rFonts w:ascii="Arial" w:hAnsi="Arial" w:cs="Arial"/>
          <w:sz w:val="24"/>
          <w:szCs w:val="24"/>
        </w:rPr>
        <w:t>i</w:t>
      </w:r>
      <w:r w:rsidR="00042EA8">
        <w:rPr>
          <w:rFonts w:ascii="Arial" w:hAnsi="Arial" w:cs="Arial"/>
          <w:sz w:val="24"/>
          <w:szCs w:val="24"/>
        </w:rPr>
        <w:t>mos falar de salarios medio</w:t>
      </w:r>
      <w:r w:rsidR="00873EB1">
        <w:rPr>
          <w:rFonts w:ascii="Arial" w:hAnsi="Arial" w:cs="Arial"/>
          <w:sz w:val="24"/>
          <w:szCs w:val="24"/>
        </w:rPr>
        <w:t>s</w:t>
      </w:r>
      <w:r w:rsidR="00042EA8">
        <w:rPr>
          <w:rFonts w:ascii="Arial" w:hAnsi="Arial" w:cs="Arial"/>
          <w:sz w:val="24"/>
          <w:szCs w:val="24"/>
        </w:rPr>
        <w:t>, xa que é así como a Axencia tributario o</w:t>
      </w:r>
      <w:r w:rsidR="00873EB1">
        <w:rPr>
          <w:rFonts w:ascii="Arial" w:hAnsi="Arial" w:cs="Arial"/>
          <w:sz w:val="24"/>
          <w:szCs w:val="24"/>
        </w:rPr>
        <w:t>s</w:t>
      </w:r>
      <w:r w:rsidR="00042EA8">
        <w:rPr>
          <w:rFonts w:ascii="Arial" w:hAnsi="Arial" w:cs="Arial"/>
          <w:sz w:val="24"/>
          <w:szCs w:val="24"/>
        </w:rPr>
        <w:t xml:space="preserve"> denomina.</w:t>
      </w:r>
    </w:p>
    <w:p w:rsidR="00E53C8C" w:rsidRDefault="00ED1716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482B8E">
        <w:rPr>
          <w:rFonts w:ascii="Arial" w:hAnsi="Arial" w:cs="Arial"/>
          <w:sz w:val="24"/>
          <w:szCs w:val="24"/>
        </w:rPr>
        <w:t>rátase de salarios brutos.</w:t>
      </w:r>
    </w:p>
    <w:p w:rsidR="00E53C8C" w:rsidRDefault="00042EA8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Antes de entrar a desagregar por tramos de ingresos, sexo, rama de actividade económica</w:t>
      </w:r>
      <w:r w:rsidR="00873EB1">
        <w:rPr>
          <w:rFonts w:ascii="Arial" w:hAnsi="Arial" w:cs="Arial"/>
          <w:sz w:val="24"/>
          <w:szCs w:val="24"/>
        </w:rPr>
        <w:t>, etc., i</w:t>
      </w:r>
      <w:r>
        <w:rPr>
          <w:rFonts w:ascii="Arial" w:hAnsi="Arial" w:cs="Arial"/>
          <w:sz w:val="24"/>
          <w:szCs w:val="24"/>
        </w:rPr>
        <w:t>mos comezar pola evolución, desde o ano 2007, tanto do número de asalariados</w:t>
      </w:r>
      <w:r w:rsidR="00873EB1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asalariadas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como dos ingresos medios declarados a </w:t>
      </w:r>
      <w:r w:rsidR="00873EB1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acenda polas empresas</w:t>
      </w:r>
      <w:r w:rsidR="00873E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xa que d</w:t>
      </w:r>
      <w:r w:rsidR="00873EB1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unha primeira visión moi clara dos efectos da crise sobre a meirande parte da clase traballadora.</w:t>
      </w:r>
    </w:p>
    <w:p w:rsidR="00C8572F" w:rsidRDefault="00873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C8572F">
        <w:rPr>
          <w:rFonts w:ascii="Arial" w:hAnsi="Arial" w:cs="Arial"/>
          <w:sz w:val="24"/>
          <w:szCs w:val="24"/>
        </w:rPr>
        <w:lastRenderedPageBreak/>
        <w:t>Ingresos salariais medios.</w:t>
      </w:r>
    </w:p>
    <w:tbl>
      <w:tblPr>
        <w:tblStyle w:val="Sombreadoclaro-nfasis11"/>
        <w:tblW w:w="10977" w:type="dxa"/>
        <w:tblInd w:w="-1056" w:type="dxa"/>
        <w:tblLook w:val="04A0" w:firstRow="1" w:lastRow="0" w:firstColumn="1" w:lastColumn="0" w:noHBand="0" w:noVBand="1"/>
      </w:tblPr>
      <w:tblGrid>
        <w:gridCol w:w="1565"/>
        <w:gridCol w:w="1216"/>
        <w:gridCol w:w="1216"/>
        <w:gridCol w:w="1216"/>
        <w:gridCol w:w="1216"/>
        <w:gridCol w:w="1216"/>
        <w:gridCol w:w="1216"/>
        <w:gridCol w:w="1216"/>
        <w:gridCol w:w="1216"/>
      </w:tblGrid>
      <w:tr w:rsidR="00D4298D" w:rsidRPr="00D4298D" w:rsidTr="00D429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noWrap/>
            <w:hideMark/>
          </w:tcPr>
          <w:p w:rsidR="00D4298D" w:rsidRPr="00D4298D" w:rsidRDefault="00D4298D" w:rsidP="00D429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2007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2008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2009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2010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2011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2012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2013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2014</w:t>
            </w:r>
          </w:p>
        </w:tc>
      </w:tr>
      <w:tr w:rsidR="00D4298D" w:rsidRPr="00D4298D" w:rsidTr="00D429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noWrap/>
            <w:hideMark/>
          </w:tcPr>
          <w:p w:rsidR="00D4298D" w:rsidRPr="00D4298D" w:rsidRDefault="005F692E" w:rsidP="00D429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</w:t>
            </w:r>
            <w:r w:rsidR="00D4298D"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alario medio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16.742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17736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18.217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18314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18.271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17.737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17.770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  <w:r w:rsidR="00C562E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729</w:t>
            </w:r>
          </w:p>
        </w:tc>
      </w:tr>
      <w:tr w:rsidR="00D4298D" w:rsidRPr="00D4298D" w:rsidTr="00D4298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49" w:type="dxa"/>
            <w:noWrap/>
            <w:hideMark/>
          </w:tcPr>
          <w:p w:rsidR="00D4298D" w:rsidRPr="00D4298D" w:rsidRDefault="005F692E" w:rsidP="00D4298D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</w:t>
            </w:r>
            <w:r w:rsidR="00D4298D"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salariados</w:t>
            </w:r>
            <w:r w:rsidR="00873EB1">
              <w:rPr>
                <w:rFonts w:ascii="Calibri" w:eastAsia="Times New Roman" w:hAnsi="Calibri" w:cs="Times New Roman"/>
                <w:color w:val="000000"/>
                <w:lang w:val="en-US"/>
              </w:rPr>
              <w:t>/as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1.141.811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1134854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1.092.731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1067999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1.048.032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999.458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969.036</w:t>
            </w:r>
          </w:p>
        </w:tc>
        <w:tc>
          <w:tcPr>
            <w:tcW w:w="1216" w:type="dxa"/>
            <w:noWrap/>
            <w:hideMark/>
          </w:tcPr>
          <w:p w:rsidR="00D4298D" w:rsidRPr="00D4298D" w:rsidRDefault="00D4298D" w:rsidP="00D429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968</w:t>
            </w:r>
            <w:r w:rsidR="00C562EF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D4298D">
              <w:rPr>
                <w:rFonts w:ascii="Calibri" w:eastAsia="Times New Roman" w:hAnsi="Calibri" w:cs="Times New Roman"/>
                <w:color w:val="000000"/>
                <w:lang w:val="en-US"/>
              </w:rPr>
              <w:t>376</w:t>
            </w:r>
          </w:p>
        </w:tc>
      </w:tr>
    </w:tbl>
    <w:p w:rsidR="0064373A" w:rsidRDefault="00873E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</w:t>
      </w:r>
      <w:r w:rsidR="00C8572F">
        <w:rPr>
          <w:rFonts w:ascii="Arial" w:hAnsi="Arial" w:cs="Arial"/>
          <w:sz w:val="24"/>
          <w:szCs w:val="24"/>
        </w:rPr>
        <w:t xml:space="preserve">laboración propia a partir dos datos da </w:t>
      </w:r>
      <w:r>
        <w:rPr>
          <w:rFonts w:ascii="Arial" w:hAnsi="Arial" w:cs="Arial"/>
          <w:sz w:val="24"/>
          <w:szCs w:val="24"/>
        </w:rPr>
        <w:t>A</w:t>
      </w:r>
      <w:r w:rsidR="00C8572F">
        <w:rPr>
          <w:rFonts w:ascii="Arial" w:hAnsi="Arial" w:cs="Arial"/>
          <w:sz w:val="24"/>
          <w:szCs w:val="24"/>
        </w:rPr>
        <w:t xml:space="preserve">xencia </w:t>
      </w:r>
      <w:r>
        <w:rPr>
          <w:rFonts w:ascii="Arial" w:hAnsi="Arial" w:cs="Arial"/>
          <w:sz w:val="24"/>
          <w:szCs w:val="24"/>
        </w:rPr>
        <w:t>T</w:t>
      </w:r>
      <w:r w:rsidR="00C8572F">
        <w:rPr>
          <w:rFonts w:ascii="Arial" w:hAnsi="Arial" w:cs="Arial"/>
          <w:sz w:val="24"/>
          <w:szCs w:val="24"/>
        </w:rPr>
        <w:t>ributaria.</w:t>
      </w:r>
    </w:p>
    <w:p w:rsidR="00595735" w:rsidRDefault="00595735">
      <w:pPr>
        <w:rPr>
          <w:rFonts w:ascii="Arial" w:hAnsi="Arial" w:cs="Arial"/>
          <w:sz w:val="24"/>
          <w:szCs w:val="24"/>
        </w:rPr>
      </w:pPr>
    </w:p>
    <w:p w:rsidR="00595735" w:rsidRDefault="00595735">
      <w:pPr>
        <w:rPr>
          <w:rFonts w:ascii="Arial" w:hAnsi="Arial" w:cs="Arial"/>
          <w:sz w:val="24"/>
          <w:szCs w:val="24"/>
        </w:rPr>
      </w:pPr>
      <w:r w:rsidRPr="0059573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4298D" w:rsidRDefault="00D4298D">
      <w:pPr>
        <w:rPr>
          <w:rFonts w:ascii="Arial" w:hAnsi="Arial" w:cs="Arial"/>
          <w:sz w:val="24"/>
          <w:szCs w:val="24"/>
        </w:rPr>
      </w:pPr>
    </w:p>
    <w:p w:rsidR="00D4298D" w:rsidRDefault="00D4298D">
      <w:pPr>
        <w:rPr>
          <w:rFonts w:ascii="Arial" w:hAnsi="Arial" w:cs="Arial"/>
          <w:sz w:val="24"/>
          <w:szCs w:val="24"/>
        </w:rPr>
      </w:pPr>
      <w:r w:rsidRPr="00D4298D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2EF" w:rsidRDefault="00C562EF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fotografía salarial que ofrecen os datos de </w:t>
      </w:r>
      <w:r w:rsidR="00FC49F8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acenda mostra que os ingresos medios dos traballadores e traballadores caeu </w:t>
      </w:r>
      <w:r w:rsidR="00FC49F8">
        <w:rPr>
          <w:rFonts w:ascii="Arial" w:hAnsi="Arial" w:cs="Arial"/>
          <w:sz w:val="24"/>
          <w:szCs w:val="24"/>
        </w:rPr>
        <w:t>ao</w:t>
      </w:r>
      <w:r w:rsidR="006346E3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17.729 euros brutos anuais</w:t>
      </w:r>
      <w:r w:rsidR="003C2A15">
        <w:rPr>
          <w:rFonts w:ascii="Arial" w:hAnsi="Arial" w:cs="Arial"/>
          <w:sz w:val="24"/>
          <w:szCs w:val="24"/>
        </w:rPr>
        <w:t xml:space="preserve"> en 2014</w:t>
      </w:r>
      <w:r w:rsidR="00D87BCE">
        <w:rPr>
          <w:rFonts w:ascii="Arial" w:hAnsi="Arial" w:cs="Arial"/>
          <w:sz w:val="24"/>
          <w:szCs w:val="24"/>
        </w:rPr>
        <w:t xml:space="preserve"> (</w:t>
      </w:r>
      <w:r w:rsidR="003C2A15">
        <w:rPr>
          <w:rFonts w:ascii="Arial" w:hAnsi="Arial" w:cs="Arial"/>
          <w:sz w:val="24"/>
          <w:szCs w:val="24"/>
        </w:rPr>
        <w:t>o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mínimo desde 2007</w:t>
      </w:r>
      <w:r w:rsidR="00D87BCE">
        <w:rPr>
          <w:rFonts w:ascii="Arial" w:hAnsi="Arial" w:cs="Arial"/>
          <w:sz w:val="24"/>
          <w:szCs w:val="24"/>
        </w:rPr>
        <w:t>),</w:t>
      </w:r>
      <w:r w:rsidR="003C2A15">
        <w:rPr>
          <w:rFonts w:ascii="Arial" w:hAnsi="Arial" w:cs="Arial"/>
          <w:sz w:val="24"/>
          <w:szCs w:val="24"/>
        </w:rPr>
        <w:t xml:space="preserve"> e que o número de asalariados/as continúa descendendo.</w:t>
      </w:r>
    </w:p>
    <w:p w:rsidR="003C2A15" w:rsidRDefault="003C2A15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salario medio resistiu nun primeiro momento e at</w:t>
      </w:r>
      <w:r w:rsidR="00D87BCE">
        <w:rPr>
          <w:rFonts w:ascii="Arial" w:hAnsi="Arial" w:cs="Arial"/>
          <w:sz w:val="24"/>
          <w:szCs w:val="24"/>
        </w:rPr>
        <w:t>a o ano 2010 continuou medrando. A</w:t>
      </w:r>
      <w:r>
        <w:rPr>
          <w:rFonts w:ascii="Arial" w:hAnsi="Arial" w:cs="Arial"/>
          <w:sz w:val="24"/>
          <w:szCs w:val="24"/>
        </w:rPr>
        <w:t xml:space="preserve"> reforma laboral</w:t>
      </w:r>
      <w:r w:rsidR="00D87B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aprobada nese ano</w:t>
      </w:r>
      <w:r w:rsidR="00D87BC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346E3">
        <w:rPr>
          <w:rFonts w:ascii="Arial" w:hAnsi="Arial" w:cs="Arial"/>
          <w:sz w:val="24"/>
          <w:szCs w:val="24"/>
        </w:rPr>
        <w:t>xunt</w:t>
      </w:r>
      <w:r w:rsidR="00D87BCE">
        <w:rPr>
          <w:rFonts w:ascii="Arial" w:hAnsi="Arial" w:cs="Arial"/>
          <w:sz w:val="24"/>
          <w:szCs w:val="24"/>
        </w:rPr>
        <w:t>amente</w:t>
      </w:r>
      <w:r w:rsidR="006346E3">
        <w:rPr>
          <w:rFonts w:ascii="Arial" w:hAnsi="Arial" w:cs="Arial"/>
          <w:sz w:val="24"/>
          <w:szCs w:val="24"/>
        </w:rPr>
        <w:t xml:space="preserve"> coa do 2012, cumpriron o seu obxectivo, e os ingresos da clase traballadora comezaron a descender, aínda que non igual para t</w:t>
      </w:r>
      <w:r w:rsidR="00D87BCE">
        <w:rPr>
          <w:rFonts w:ascii="Arial" w:hAnsi="Arial" w:cs="Arial"/>
          <w:sz w:val="24"/>
          <w:szCs w:val="24"/>
        </w:rPr>
        <w:t>odo os</w:t>
      </w:r>
      <w:r w:rsidR="006346E3">
        <w:rPr>
          <w:rFonts w:ascii="Arial" w:hAnsi="Arial" w:cs="Arial"/>
          <w:sz w:val="24"/>
          <w:szCs w:val="24"/>
        </w:rPr>
        <w:t xml:space="preserve"> traballadores</w:t>
      </w:r>
      <w:r w:rsidR="00D87BCE">
        <w:rPr>
          <w:rFonts w:ascii="Arial" w:hAnsi="Arial" w:cs="Arial"/>
          <w:sz w:val="24"/>
          <w:szCs w:val="24"/>
        </w:rPr>
        <w:t>/as</w:t>
      </w:r>
      <w:r w:rsidR="006346E3">
        <w:rPr>
          <w:rFonts w:ascii="Arial" w:hAnsi="Arial" w:cs="Arial"/>
          <w:sz w:val="24"/>
          <w:szCs w:val="24"/>
        </w:rPr>
        <w:t>, como veremos máis adiante</w:t>
      </w:r>
      <w:r w:rsidR="00D87BCE">
        <w:rPr>
          <w:rFonts w:ascii="Arial" w:hAnsi="Arial" w:cs="Arial"/>
          <w:sz w:val="24"/>
          <w:szCs w:val="24"/>
        </w:rPr>
        <w:t>. É nos</w:t>
      </w:r>
      <w:r w:rsidR="006346E3">
        <w:rPr>
          <w:rFonts w:ascii="Arial" w:hAnsi="Arial" w:cs="Arial"/>
          <w:sz w:val="24"/>
          <w:szCs w:val="24"/>
        </w:rPr>
        <w:t xml:space="preserve"> de menores ingresos onde se produciron os maiores descensos.</w:t>
      </w:r>
    </w:p>
    <w:p w:rsidR="006346E3" w:rsidRDefault="006346E3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Precariedade e desigualdade, que non estivo acompañada cun aumento do emprego, o que teori</w:t>
      </w:r>
      <w:r w:rsidR="00D87BCE">
        <w:rPr>
          <w:rFonts w:ascii="Arial" w:hAnsi="Arial" w:cs="Arial"/>
          <w:sz w:val="24"/>
          <w:szCs w:val="24"/>
        </w:rPr>
        <w:t>camente xustificaba as reformas;</w:t>
      </w:r>
      <w:r>
        <w:rPr>
          <w:rFonts w:ascii="Arial" w:hAnsi="Arial" w:cs="Arial"/>
          <w:sz w:val="24"/>
          <w:szCs w:val="24"/>
        </w:rPr>
        <w:t xml:space="preserve"> todo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contrario, desde o ano 2010 agudizouse o descenso dos asalariados/as, caída que continu</w:t>
      </w:r>
      <w:r w:rsidR="00D87BCE">
        <w:rPr>
          <w:rFonts w:ascii="Arial" w:hAnsi="Arial" w:cs="Arial"/>
          <w:sz w:val="24"/>
          <w:szCs w:val="24"/>
        </w:rPr>
        <w:t>ou no ano 2014 no caso de Galiz</w:t>
      </w:r>
      <w:r>
        <w:rPr>
          <w:rFonts w:ascii="Arial" w:hAnsi="Arial" w:cs="Arial"/>
          <w:sz w:val="24"/>
          <w:szCs w:val="24"/>
        </w:rPr>
        <w:t>a.</w:t>
      </w:r>
    </w:p>
    <w:p w:rsidR="001A3670" w:rsidRDefault="001A3670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ano 2014 as empresas declararon a </w:t>
      </w:r>
      <w:r w:rsidR="00D87BCE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acenda retencións e salarios de 968.376 </w:t>
      </w:r>
      <w:r w:rsidR="005267A1">
        <w:rPr>
          <w:rFonts w:ascii="Arial" w:hAnsi="Arial" w:cs="Arial"/>
          <w:sz w:val="24"/>
          <w:szCs w:val="24"/>
        </w:rPr>
        <w:t>asalariados/as</w:t>
      </w:r>
      <w:r>
        <w:rPr>
          <w:rFonts w:ascii="Arial" w:hAnsi="Arial" w:cs="Arial"/>
          <w:sz w:val="24"/>
          <w:szCs w:val="24"/>
        </w:rPr>
        <w:t>, un 15% menos que no ano 2007, cando ao número de asalariados</w:t>
      </w:r>
      <w:r w:rsidR="00D87BCE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acadaba o 1.141.811.</w:t>
      </w:r>
    </w:p>
    <w:p w:rsidR="005267A1" w:rsidRDefault="005267A1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desagregamos o número de asalariados/as por tramos</w:t>
      </w:r>
      <w:r w:rsidR="00F8415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función dos ingresos percibidos, </w:t>
      </w:r>
      <w:r w:rsidR="00D87BCE">
        <w:rPr>
          <w:rFonts w:ascii="Arial" w:hAnsi="Arial" w:cs="Arial"/>
          <w:sz w:val="24"/>
          <w:szCs w:val="24"/>
        </w:rPr>
        <w:t>vese</w:t>
      </w:r>
      <w:r>
        <w:rPr>
          <w:rFonts w:ascii="Arial" w:hAnsi="Arial" w:cs="Arial"/>
          <w:sz w:val="24"/>
          <w:szCs w:val="24"/>
        </w:rPr>
        <w:t xml:space="preserve"> como </w:t>
      </w:r>
      <w:r w:rsidR="00FF0C8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forte depresión que estamos padecendo non afecta nin afectou por igual </w:t>
      </w:r>
      <w:r w:rsidR="00D87BCE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clase traballadora.</w:t>
      </w:r>
      <w:r w:rsidR="00545041">
        <w:rPr>
          <w:rFonts w:ascii="Arial" w:hAnsi="Arial" w:cs="Arial"/>
          <w:sz w:val="24"/>
          <w:szCs w:val="24"/>
        </w:rPr>
        <w:t xml:space="preserve"> Descendeu o número de asalariados</w:t>
      </w:r>
      <w:r w:rsidR="00D87BCE">
        <w:rPr>
          <w:rFonts w:ascii="Arial" w:hAnsi="Arial" w:cs="Arial"/>
          <w:sz w:val="24"/>
          <w:szCs w:val="24"/>
        </w:rPr>
        <w:t>/as</w:t>
      </w:r>
      <w:r w:rsidR="00545041">
        <w:rPr>
          <w:rFonts w:ascii="Arial" w:hAnsi="Arial" w:cs="Arial"/>
          <w:sz w:val="24"/>
          <w:szCs w:val="24"/>
        </w:rPr>
        <w:t xml:space="preserve"> en </w:t>
      </w:r>
      <w:r w:rsidR="00D87BCE">
        <w:rPr>
          <w:rFonts w:ascii="Arial" w:hAnsi="Arial" w:cs="Arial"/>
          <w:sz w:val="24"/>
          <w:szCs w:val="24"/>
        </w:rPr>
        <w:t>todos os</w:t>
      </w:r>
      <w:r w:rsidR="00545041">
        <w:rPr>
          <w:rFonts w:ascii="Arial" w:hAnsi="Arial" w:cs="Arial"/>
          <w:sz w:val="24"/>
          <w:szCs w:val="24"/>
        </w:rPr>
        <w:t xml:space="preserve"> intervalos de ingresos salvo no tramo inferior, de menos da metade do SMI,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545041">
        <w:rPr>
          <w:rFonts w:ascii="Arial" w:hAnsi="Arial" w:cs="Arial"/>
          <w:sz w:val="24"/>
          <w:szCs w:val="24"/>
        </w:rPr>
        <w:t>no cal hai rexistrados 18.605 máis que no ano 2009</w:t>
      </w:r>
      <w:r w:rsidR="003A30B9">
        <w:rPr>
          <w:rFonts w:ascii="Arial" w:hAnsi="Arial" w:cs="Arial"/>
          <w:sz w:val="24"/>
          <w:szCs w:val="24"/>
        </w:rPr>
        <w:t>, acadando os 177.314</w:t>
      </w:r>
      <w:r w:rsidR="00545041">
        <w:rPr>
          <w:rFonts w:ascii="Arial" w:hAnsi="Arial" w:cs="Arial"/>
          <w:sz w:val="24"/>
          <w:szCs w:val="24"/>
        </w:rPr>
        <w:t>. Isto v</w:t>
      </w:r>
      <w:r w:rsidR="00D87BCE">
        <w:rPr>
          <w:rFonts w:ascii="Arial" w:hAnsi="Arial" w:cs="Arial"/>
          <w:sz w:val="24"/>
          <w:szCs w:val="24"/>
        </w:rPr>
        <w:t>é</w:t>
      </w:r>
      <w:r w:rsidR="00545041">
        <w:rPr>
          <w:rFonts w:ascii="Arial" w:hAnsi="Arial" w:cs="Arial"/>
          <w:sz w:val="24"/>
          <w:szCs w:val="24"/>
        </w:rPr>
        <w:t>n a confirmar o que outras estatísticas amosan, que se produciu unha forte destrución de emprego entre a clase traballadora menos precaria, e o pouco emprego que se creou foi única e exclusivamente precario, fundamentalmente de moi escasa d</w:t>
      </w:r>
      <w:r w:rsidR="00D87BCE">
        <w:rPr>
          <w:rFonts w:ascii="Arial" w:hAnsi="Arial" w:cs="Arial"/>
          <w:sz w:val="24"/>
          <w:szCs w:val="24"/>
        </w:rPr>
        <w:t>uración ou de xornadas parciais;</w:t>
      </w:r>
      <w:r w:rsidR="00545041">
        <w:rPr>
          <w:rFonts w:ascii="Arial" w:hAnsi="Arial" w:cs="Arial"/>
          <w:sz w:val="24"/>
          <w:szCs w:val="24"/>
        </w:rPr>
        <w:t xml:space="preserve"> de aí, este nivel de ingresos.</w:t>
      </w:r>
    </w:p>
    <w:p w:rsidR="00CB0A1C" w:rsidRDefault="00D879C0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cambio no que atinxe </w:t>
      </w:r>
      <w:r w:rsidR="00D87BCE">
        <w:rPr>
          <w:rFonts w:ascii="Arial" w:hAnsi="Arial" w:cs="Arial"/>
          <w:sz w:val="24"/>
          <w:szCs w:val="24"/>
        </w:rPr>
        <w:t>á</w:t>
      </w:r>
      <w:r>
        <w:rPr>
          <w:rFonts w:ascii="Arial" w:hAnsi="Arial" w:cs="Arial"/>
          <w:sz w:val="24"/>
          <w:szCs w:val="24"/>
        </w:rPr>
        <w:t xml:space="preserve"> evolución dos ingresos, é precisamente no grupo inferior, menos da metade do SMI, no único</w:t>
      </w:r>
      <w:r w:rsidR="00CB0A1C">
        <w:rPr>
          <w:rFonts w:ascii="Arial" w:hAnsi="Arial" w:cs="Arial"/>
          <w:sz w:val="24"/>
          <w:szCs w:val="24"/>
        </w:rPr>
        <w:t xml:space="preserve"> onde descende o ingreso medio,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CB0A1C">
        <w:rPr>
          <w:rFonts w:ascii="Arial" w:hAnsi="Arial" w:cs="Arial"/>
          <w:sz w:val="24"/>
          <w:szCs w:val="24"/>
        </w:rPr>
        <w:t>concretamente un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CB0A1C">
        <w:rPr>
          <w:rFonts w:ascii="Arial" w:hAnsi="Arial" w:cs="Arial"/>
          <w:sz w:val="24"/>
          <w:szCs w:val="24"/>
        </w:rPr>
        <w:t>3,3%</w:t>
      </w:r>
      <w:r w:rsidR="00C27A89">
        <w:rPr>
          <w:rFonts w:ascii="Arial" w:hAnsi="Arial" w:cs="Arial"/>
          <w:sz w:val="24"/>
          <w:szCs w:val="24"/>
        </w:rPr>
        <w:t>, 64 euros menos que no ano 2009</w:t>
      </w:r>
      <w:r w:rsidR="00D87BCE">
        <w:rPr>
          <w:rFonts w:ascii="Arial" w:hAnsi="Arial" w:cs="Arial"/>
          <w:sz w:val="24"/>
          <w:szCs w:val="24"/>
        </w:rPr>
        <w:t>. E</w:t>
      </w:r>
      <w:r w:rsidR="00CB0A1C">
        <w:rPr>
          <w:rFonts w:ascii="Arial" w:hAnsi="Arial" w:cs="Arial"/>
          <w:sz w:val="24"/>
          <w:szCs w:val="24"/>
        </w:rPr>
        <w:t xml:space="preserve">n </w:t>
      </w:r>
      <w:r w:rsidR="00D87BCE">
        <w:rPr>
          <w:rFonts w:ascii="Arial" w:hAnsi="Arial" w:cs="Arial"/>
          <w:sz w:val="24"/>
          <w:szCs w:val="24"/>
        </w:rPr>
        <w:t>todos os</w:t>
      </w:r>
      <w:r w:rsidR="00CB0A1C">
        <w:rPr>
          <w:rFonts w:ascii="Arial" w:hAnsi="Arial" w:cs="Arial"/>
          <w:sz w:val="24"/>
          <w:szCs w:val="24"/>
        </w:rPr>
        <w:t xml:space="preserve"> demais intervalos medra, e ademais, é maior o incremento</w:t>
      </w:r>
      <w:r w:rsidR="00C27A89">
        <w:rPr>
          <w:rFonts w:ascii="Arial" w:hAnsi="Arial" w:cs="Arial"/>
          <w:sz w:val="24"/>
          <w:szCs w:val="24"/>
        </w:rPr>
        <w:t>,</w:t>
      </w:r>
      <w:r w:rsidR="00CB0A1C">
        <w:rPr>
          <w:rFonts w:ascii="Arial" w:hAnsi="Arial" w:cs="Arial"/>
          <w:sz w:val="24"/>
          <w:szCs w:val="24"/>
        </w:rPr>
        <w:t xml:space="preserve"> en termos absolutos, a medida que </w:t>
      </w:r>
      <w:r w:rsidR="00C27A89">
        <w:rPr>
          <w:rFonts w:ascii="Arial" w:hAnsi="Arial" w:cs="Arial"/>
          <w:sz w:val="24"/>
          <w:szCs w:val="24"/>
        </w:rPr>
        <w:t>aumento o intervalo de ingresos.</w:t>
      </w:r>
    </w:p>
    <w:p w:rsidR="00BE5F80" w:rsidRDefault="00C27A89" w:rsidP="00DF7B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D879C0">
        <w:rPr>
          <w:rFonts w:ascii="Arial" w:hAnsi="Arial" w:cs="Arial"/>
          <w:sz w:val="24"/>
          <w:szCs w:val="24"/>
        </w:rPr>
        <w:t xml:space="preserve">n resumo, máis traballadores con ingresos inferiores </w:t>
      </w:r>
      <w:r w:rsidR="00C93A6D">
        <w:rPr>
          <w:rFonts w:ascii="Arial" w:hAnsi="Arial" w:cs="Arial"/>
          <w:sz w:val="24"/>
          <w:szCs w:val="24"/>
        </w:rPr>
        <w:t>á</w:t>
      </w:r>
      <w:r w:rsidR="00D879C0">
        <w:rPr>
          <w:rFonts w:ascii="Arial" w:hAnsi="Arial" w:cs="Arial"/>
          <w:sz w:val="24"/>
          <w:szCs w:val="24"/>
        </w:rPr>
        <w:t xml:space="preserve"> metade do SMI, e menores ingresos </w:t>
      </w:r>
      <w:r w:rsidR="00C93A6D">
        <w:rPr>
          <w:rFonts w:ascii="Arial" w:hAnsi="Arial" w:cs="Arial"/>
          <w:sz w:val="24"/>
          <w:szCs w:val="24"/>
        </w:rPr>
        <w:t>n</w:t>
      </w:r>
      <w:r w:rsidR="00D879C0">
        <w:rPr>
          <w:rFonts w:ascii="Arial" w:hAnsi="Arial" w:cs="Arial"/>
          <w:sz w:val="24"/>
          <w:szCs w:val="24"/>
        </w:rPr>
        <w:t>este grupo. Claramente</w:t>
      </w:r>
      <w:r w:rsidR="00D87BCE">
        <w:rPr>
          <w:rFonts w:ascii="Arial" w:hAnsi="Arial" w:cs="Arial"/>
          <w:sz w:val="24"/>
          <w:szCs w:val="24"/>
        </w:rPr>
        <w:t>,</w:t>
      </w:r>
      <w:r w:rsidR="00D879C0">
        <w:rPr>
          <w:rFonts w:ascii="Arial" w:hAnsi="Arial" w:cs="Arial"/>
          <w:sz w:val="24"/>
          <w:szCs w:val="24"/>
        </w:rPr>
        <w:t xml:space="preserve"> a precariedade e a desigualdade</w:t>
      </w:r>
      <w:r w:rsidR="00F84152">
        <w:rPr>
          <w:rFonts w:ascii="Arial" w:hAnsi="Arial" w:cs="Arial"/>
          <w:sz w:val="24"/>
          <w:szCs w:val="24"/>
        </w:rPr>
        <w:t xml:space="preserve"> </w:t>
      </w:r>
      <w:r w:rsidR="00D879C0">
        <w:rPr>
          <w:rFonts w:ascii="Arial" w:hAnsi="Arial" w:cs="Arial"/>
          <w:sz w:val="24"/>
          <w:szCs w:val="24"/>
        </w:rPr>
        <w:t>incrementáronse exponencialmente neste período.</w:t>
      </w:r>
    </w:p>
    <w:p w:rsidR="00C93A6D" w:rsidRDefault="00D87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column"/>
      </w:r>
      <w:r w:rsidR="00E85F82">
        <w:rPr>
          <w:rFonts w:ascii="Arial" w:hAnsi="Arial" w:cs="Arial"/>
          <w:sz w:val="24"/>
          <w:szCs w:val="24"/>
        </w:rPr>
        <w:t>Asalariados/as e salario medio segundo tramos.</w:t>
      </w:r>
    </w:p>
    <w:tbl>
      <w:tblPr>
        <w:tblStyle w:val="Sombreadoclaro-nfasis11"/>
        <w:tblW w:w="5000" w:type="pct"/>
        <w:tblLook w:val="04A0" w:firstRow="1" w:lastRow="0" w:firstColumn="1" w:lastColumn="0" w:noHBand="0" w:noVBand="1"/>
      </w:tblPr>
      <w:tblGrid>
        <w:gridCol w:w="1805"/>
        <w:gridCol w:w="1241"/>
        <w:gridCol w:w="1125"/>
        <w:gridCol w:w="1241"/>
        <w:gridCol w:w="1237"/>
        <w:gridCol w:w="1241"/>
        <w:gridCol w:w="1164"/>
      </w:tblGrid>
      <w:tr w:rsidR="001A3670" w:rsidRPr="001A3670" w:rsidTr="00526C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5" w:type="pct"/>
            <w:noWrap/>
            <w:hideMark/>
          </w:tcPr>
          <w:p w:rsidR="001A3670" w:rsidRPr="001A3670" w:rsidRDefault="001A3670" w:rsidP="001A3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21" w:type="pct"/>
            <w:noWrap/>
            <w:hideMark/>
          </w:tcPr>
          <w:p w:rsidR="001A3670" w:rsidRPr="001A3670" w:rsidRDefault="001A3670" w:rsidP="001A3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5" w:type="pct"/>
            <w:noWrap/>
            <w:hideMark/>
          </w:tcPr>
          <w:p w:rsidR="001A3670" w:rsidRPr="001A3670" w:rsidRDefault="001A3670" w:rsidP="001A3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3" w:type="pct"/>
            <w:noWrap/>
            <w:hideMark/>
          </w:tcPr>
          <w:p w:rsidR="001A3670" w:rsidRPr="001A3670" w:rsidRDefault="001A3670" w:rsidP="001A3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685" w:type="pct"/>
            <w:noWrap/>
            <w:hideMark/>
          </w:tcPr>
          <w:p w:rsidR="001A3670" w:rsidRPr="001A3670" w:rsidRDefault="001A3670" w:rsidP="001A3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Evolución 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1A367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  <w:tr w:rsidR="002B4863" w:rsidRPr="001A3670" w:rsidTr="0052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1A36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2009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1A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1A367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2014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1A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685" w:type="pct"/>
            <w:noWrap/>
            <w:hideMark/>
          </w:tcPr>
          <w:p w:rsidR="006B7D1A" w:rsidRDefault="001A3670" w:rsidP="001A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2014/</w:t>
            </w:r>
          </w:p>
          <w:p w:rsidR="001A3670" w:rsidRPr="001A3670" w:rsidRDefault="001A3670" w:rsidP="001A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2009</w:t>
            </w:r>
          </w:p>
        </w:tc>
        <w:tc>
          <w:tcPr>
            <w:tcW w:w="643" w:type="pct"/>
            <w:noWrap/>
            <w:hideMark/>
          </w:tcPr>
          <w:p w:rsidR="006B7D1A" w:rsidRDefault="001A3670" w:rsidP="001A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2014/</w:t>
            </w:r>
          </w:p>
          <w:p w:rsidR="001A3670" w:rsidRPr="001A3670" w:rsidRDefault="001A3670" w:rsidP="001A36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2009</w:t>
            </w:r>
          </w:p>
        </w:tc>
      </w:tr>
      <w:tr w:rsidR="001A3670" w:rsidRPr="001A3670" w:rsidTr="00526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B33E73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Tramos de </w:t>
            </w:r>
          </w:p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salario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Asalariados</w:t>
            </w:r>
          </w:p>
        </w:tc>
        <w:tc>
          <w:tcPr>
            <w:tcW w:w="621" w:type="pct"/>
            <w:noWrap/>
            <w:hideMark/>
          </w:tcPr>
          <w:p w:rsidR="002B4863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Salario </w:t>
            </w:r>
          </w:p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Medio 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Asalariados</w:t>
            </w:r>
          </w:p>
        </w:tc>
        <w:tc>
          <w:tcPr>
            <w:tcW w:w="683" w:type="pct"/>
            <w:noWrap/>
            <w:hideMark/>
          </w:tcPr>
          <w:p w:rsidR="002B4863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Salario </w:t>
            </w:r>
          </w:p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Medio 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Asalariados</w:t>
            </w:r>
          </w:p>
        </w:tc>
        <w:tc>
          <w:tcPr>
            <w:tcW w:w="643" w:type="pct"/>
            <w:noWrap/>
            <w:hideMark/>
          </w:tcPr>
          <w:p w:rsidR="002B4863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Salario </w:t>
            </w:r>
          </w:p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Medio </w:t>
            </w:r>
          </w:p>
        </w:tc>
      </w:tr>
      <w:tr w:rsidR="002B4863" w:rsidRPr="001A3670" w:rsidTr="0052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1.092.731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18.217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968376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729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-124.355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-488</w:t>
            </w:r>
          </w:p>
        </w:tc>
      </w:tr>
      <w:tr w:rsidR="001A3670" w:rsidRPr="001A3670" w:rsidTr="00526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De 0 a 0,5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158.709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1.947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177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314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883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18.605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-64</w:t>
            </w:r>
          </w:p>
        </w:tc>
      </w:tr>
      <w:tr w:rsidR="002B4863" w:rsidRPr="001A3670" w:rsidTr="0052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De 0,5 a 1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131.733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6.597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123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402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6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800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-8.331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203</w:t>
            </w:r>
          </w:p>
        </w:tc>
      </w:tr>
      <w:tr w:rsidR="001A3670" w:rsidRPr="001A3670" w:rsidTr="00526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De 1 a 1,5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159.154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11.055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130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974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11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398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-28.180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343</w:t>
            </w:r>
          </w:p>
        </w:tc>
      </w:tr>
      <w:tr w:rsidR="002B4863" w:rsidRPr="001A3670" w:rsidTr="0052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De 1,5 a 2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206.880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15.305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160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139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15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843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-46.741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538</w:t>
            </w:r>
          </w:p>
        </w:tc>
      </w:tr>
      <w:tr w:rsidR="001A3670" w:rsidRPr="001A3670" w:rsidTr="00526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De 2 a 2,5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131.141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19.443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115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696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20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123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-15.445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680</w:t>
            </w:r>
          </w:p>
        </w:tc>
      </w:tr>
      <w:tr w:rsidR="002B4863" w:rsidRPr="001A3670" w:rsidTr="0052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De 2,5 a 3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82.188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23.841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71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418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24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751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-10.770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910</w:t>
            </w:r>
          </w:p>
        </w:tc>
      </w:tr>
      <w:tr w:rsidR="001A3670" w:rsidRPr="001A3670" w:rsidTr="00526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De 3 a 3,5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57.605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28.317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57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102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29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258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-503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941</w:t>
            </w:r>
          </w:p>
        </w:tc>
      </w:tr>
      <w:tr w:rsidR="002B4863" w:rsidRPr="001A3670" w:rsidTr="0052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De 3,5 a 4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42.870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32.624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39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357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737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-3.513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1.113</w:t>
            </w:r>
          </w:p>
        </w:tc>
      </w:tr>
      <w:tr w:rsidR="001A3670" w:rsidRPr="001A3670" w:rsidTr="00526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De 4 a 4,5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34.144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37.074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30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568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38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200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-3.576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1.126</w:t>
            </w:r>
          </w:p>
        </w:tc>
      </w:tr>
      <w:tr w:rsidR="002B4863" w:rsidRPr="001A3670" w:rsidTr="0052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De 4,5 a 5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27.641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41.335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17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084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42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717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-10.557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1.382</w:t>
            </w:r>
          </w:p>
        </w:tc>
      </w:tr>
      <w:tr w:rsidR="001A3670" w:rsidRPr="001A3670" w:rsidTr="00526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De 5 a 7,5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42.838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51.579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33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149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53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801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-9.689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2.222</w:t>
            </w:r>
          </w:p>
        </w:tc>
      </w:tr>
      <w:tr w:rsidR="002B4863" w:rsidRPr="001A3670" w:rsidTr="00526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De 7,5 a 10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11.459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74.444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8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167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76</w:t>
            </w:r>
            <w:r w:rsidR="005D0932">
              <w:rPr>
                <w:rFonts w:ascii="Calibri" w:eastAsia="Times New Roman" w:hAnsi="Calibri" w:cs="Times New Roman"/>
                <w:color w:val="000000"/>
                <w:lang w:val="en-US"/>
              </w:rPr>
              <w:t>.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378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-3.292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1.934</w:t>
            </w:r>
          </w:p>
        </w:tc>
      </w:tr>
      <w:tr w:rsidR="001A3670" w:rsidRPr="001A3670" w:rsidTr="00526C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7" w:type="pct"/>
            <w:noWrap/>
            <w:hideMark/>
          </w:tcPr>
          <w:p w:rsidR="001A3670" w:rsidRPr="001A3670" w:rsidRDefault="001A3670" w:rsidP="001A3670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Má</w:t>
            </w:r>
            <w:r w:rsidR="00D3780D">
              <w:rPr>
                <w:rFonts w:ascii="Calibri" w:eastAsia="Times New Roman" w:hAnsi="Calibri" w:cs="Times New Roman"/>
                <w:color w:val="000000"/>
                <w:lang w:val="en-US"/>
              </w:rPr>
              <w:t>i</w:t>
            </w: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s de 10 SMI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6.068</w:t>
            </w:r>
          </w:p>
        </w:tc>
        <w:tc>
          <w:tcPr>
            <w:tcW w:w="621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129.633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4005</w:t>
            </w:r>
          </w:p>
        </w:tc>
        <w:tc>
          <w:tcPr>
            <w:tcW w:w="68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141375</w:t>
            </w:r>
          </w:p>
        </w:tc>
        <w:tc>
          <w:tcPr>
            <w:tcW w:w="685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-2.063</w:t>
            </w:r>
          </w:p>
        </w:tc>
        <w:tc>
          <w:tcPr>
            <w:tcW w:w="643" w:type="pct"/>
            <w:noWrap/>
            <w:hideMark/>
          </w:tcPr>
          <w:p w:rsidR="001A3670" w:rsidRPr="001A3670" w:rsidRDefault="001A3670" w:rsidP="00B57F3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A3670">
              <w:rPr>
                <w:rFonts w:ascii="Calibri" w:eastAsia="Times New Roman" w:hAnsi="Calibri" w:cs="Times New Roman"/>
                <w:color w:val="000000"/>
                <w:lang w:val="en-US"/>
              </w:rPr>
              <w:t>11.742</w:t>
            </w:r>
          </w:p>
        </w:tc>
      </w:tr>
    </w:tbl>
    <w:p w:rsidR="00526CAF" w:rsidRDefault="00526CAF" w:rsidP="00526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Fonte: </w:t>
      </w:r>
      <w:r w:rsidR="007D676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laboración propia a partir dos datos da </w:t>
      </w:r>
      <w:r w:rsidR="007D676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xencia </w:t>
      </w:r>
      <w:r w:rsidR="007D676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ributaria.</w:t>
      </w:r>
    </w:p>
    <w:p w:rsidR="00A900B5" w:rsidRDefault="00A900B5" w:rsidP="00526CAF">
      <w:pPr>
        <w:rPr>
          <w:rFonts w:ascii="Arial" w:hAnsi="Arial" w:cs="Arial"/>
          <w:sz w:val="24"/>
          <w:szCs w:val="24"/>
        </w:rPr>
      </w:pPr>
      <w:r w:rsidRPr="00A900B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67375" cy="3429000"/>
            <wp:effectExtent l="19050" t="0" r="9525" b="0"/>
            <wp:docPr id="4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93629" w:rsidRDefault="00C93629" w:rsidP="00DF7B16">
      <w:pPr>
        <w:jc w:val="both"/>
        <w:rPr>
          <w:rFonts w:ascii="Arial" w:hAnsi="Arial" w:cs="Arial"/>
          <w:sz w:val="24"/>
          <w:szCs w:val="24"/>
        </w:rPr>
      </w:pPr>
    </w:p>
    <w:p w:rsidR="00A13D5C" w:rsidRDefault="00A13D5C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gráfico é moi ilustrativo,</w:t>
      </w:r>
      <w:r w:rsidR="007D676E">
        <w:rPr>
          <w:rFonts w:ascii="Arial" w:hAnsi="Arial" w:cs="Arial"/>
          <w:sz w:val="24"/>
          <w:szCs w:val="24"/>
        </w:rPr>
        <w:t xml:space="preserve"> xa que</w:t>
      </w:r>
      <w:r>
        <w:rPr>
          <w:rFonts w:ascii="Arial" w:hAnsi="Arial" w:cs="Arial"/>
          <w:sz w:val="24"/>
          <w:szCs w:val="24"/>
        </w:rPr>
        <w:t xml:space="preserve"> o único </w:t>
      </w:r>
      <w:r w:rsidR="004466E0">
        <w:rPr>
          <w:rFonts w:ascii="Arial" w:hAnsi="Arial" w:cs="Arial"/>
          <w:sz w:val="24"/>
          <w:szCs w:val="24"/>
        </w:rPr>
        <w:t xml:space="preserve">grupo </w:t>
      </w:r>
      <w:r>
        <w:rPr>
          <w:rFonts w:ascii="Arial" w:hAnsi="Arial" w:cs="Arial"/>
          <w:sz w:val="24"/>
          <w:szCs w:val="24"/>
        </w:rPr>
        <w:t>que medra claramente son os asalariados/as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do primeiro intervalo de ingreso (menos da metade do SMI),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D3780D">
        <w:rPr>
          <w:rFonts w:ascii="Arial" w:hAnsi="Arial" w:cs="Arial"/>
          <w:sz w:val="24"/>
          <w:szCs w:val="24"/>
        </w:rPr>
        <w:t>e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salario medio dos de ingresos superiores a 10 veces o SMI. </w:t>
      </w:r>
      <w:r w:rsidR="00D3780D">
        <w:rPr>
          <w:rFonts w:ascii="Arial" w:hAnsi="Arial" w:cs="Arial"/>
          <w:sz w:val="24"/>
          <w:szCs w:val="24"/>
        </w:rPr>
        <w:t>No medio, fortes descensos dos asalariados/as e escaso medre dos ingresos.</w:t>
      </w:r>
    </w:p>
    <w:p w:rsidR="00C93629" w:rsidRDefault="00C93629" w:rsidP="00E97D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18,4% dos asalariados/as</w:t>
      </w:r>
      <w:r w:rsidR="00592597">
        <w:rPr>
          <w:rFonts w:ascii="Arial" w:hAnsi="Arial" w:cs="Arial"/>
          <w:sz w:val="24"/>
          <w:szCs w:val="24"/>
        </w:rPr>
        <w:t xml:space="preserve"> (177.314)</w:t>
      </w:r>
      <w:r w:rsidR="007D676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en 2014 tiveron uns ingresos inferiores á metade do SMI. En 2009 eran o 14,5%. Preto de 4 puntos porcentuais máis.</w:t>
      </w:r>
      <w:r w:rsidR="00E459C3">
        <w:rPr>
          <w:rFonts w:ascii="Arial" w:hAnsi="Arial" w:cs="Arial"/>
          <w:sz w:val="24"/>
          <w:szCs w:val="24"/>
        </w:rPr>
        <w:t xml:space="preserve"> Isto supón uns ingresos iguais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E459C3">
        <w:rPr>
          <w:rFonts w:ascii="Arial" w:hAnsi="Arial" w:cs="Arial"/>
          <w:sz w:val="24"/>
          <w:szCs w:val="24"/>
        </w:rPr>
        <w:t>ou inferiores a 1.883 euros anuais.</w:t>
      </w:r>
    </w:p>
    <w:p w:rsidR="00E459C3" w:rsidRDefault="00E459C3" w:rsidP="00E97D5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C93629" w:rsidRDefault="00E459C3" w:rsidP="00E97D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Houbo un 12,7%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cuxos ingreso se </w:t>
      </w:r>
      <w:r w:rsidR="007D676E">
        <w:rPr>
          <w:rFonts w:ascii="Arial" w:hAnsi="Arial" w:cs="Arial"/>
          <w:sz w:val="24"/>
          <w:szCs w:val="24"/>
        </w:rPr>
        <w:t>situaron entre a metade e o SMI,</w:t>
      </w:r>
      <w:r>
        <w:rPr>
          <w:rFonts w:ascii="Arial" w:hAnsi="Arial" w:cs="Arial"/>
          <w:sz w:val="24"/>
          <w:szCs w:val="24"/>
        </w:rPr>
        <w:t xml:space="preserve"> o que equivale, como máximo</w:t>
      </w:r>
      <w:r w:rsidR="007D67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6.800 euros anuais.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Sumando estes</w:t>
      </w:r>
      <w:r w:rsidR="007D676E">
        <w:rPr>
          <w:rFonts w:ascii="Arial" w:hAnsi="Arial" w:cs="Arial"/>
          <w:sz w:val="24"/>
          <w:szCs w:val="24"/>
        </w:rPr>
        <w:t xml:space="preserve"> ao</w:t>
      </w:r>
      <w:r>
        <w:rPr>
          <w:rFonts w:ascii="Arial" w:hAnsi="Arial" w:cs="Arial"/>
          <w:sz w:val="24"/>
          <w:szCs w:val="24"/>
        </w:rPr>
        <w:t xml:space="preserve"> grupo anterior, o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9E126A">
        <w:rPr>
          <w:rFonts w:ascii="Arial" w:hAnsi="Arial" w:cs="Arial"/>
          <w:sz w:val="24"/>
          <w:szCs w:val="24"/>
        </w:rPr>
        <w:t>31%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dos asalariados/as </w:t>
      </w:r>
      <w:r w:rsidR="009E126A">
        <w:rPr>
          <w:rFonts w:ascii="Arial" w:hAnsi="Arial" w:cs="Arial"/>
          <w:sz w:val="24"/>
          <w:szCs w:val="24"/>
        </w:rPr>
        <w:t xml:space="preserve">acadaron, </w:t>
      </w:r>
      <w:r>
        <w:rPr>
          <w:rFonts w:ascii="Arial" w:hAnsi="Arial" w:cs="Arial"/>
          <w:sz w:val="24"/>
          <w:szCs w:val="24"/>
        </w:rPr>
        <w:t xml:space="preserve">como máximo, o SMI no ano 2014. </w:t>
      </w:r>
    </w:p>
    <w:p w:rsidR="00C017C2" w:rsidRPr="00C017C2" w:rsidRDefault="00C017C2" w:rsidP="00E97D5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459C3" w:rsidRDefault="00E459C3" w:rsidP="00E97D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extremo oposto da táboa, sitúanse os que percibiron máis de 10 veces o SMI, o que equivale a uns ingresos an</w:t>
      </w:r>
      <w:r w:rsidR="007D676E">
        <w:rPr>
          <w:rFonts w:ascii="Arial" w:hAnsi="Arial" w:cs="Arial"/>
          <w:sz w:val="24"/>
          <w:szCs w:val="24"/>
        </w:rPr>
        <w:t>uais superiores a 141.375 euros. N</w:t>
      </w:r>
      <w:r>
        <w:rPr>
          <w:rFonts w:ascii="Arial" w:hAnsi="Arial" w:cs="Arial"/>
          <w:sz w:val="24"/>
          <w:szCs w:val="24"/>
        </w:rPr>
        <w:t>o ano 2014 foron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4.005 asalariados</w:t>
      </w:r>
      <w:r w:rsidR="007D676E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>, o 0,4% do total.</w:t>
      </w:r>
    </w:p>
    <w:p w:rsidR="00C017C2" w:rsidRPr="00C017C2" w:rsidRDefault="00C017C2" w:rsidP="00E97D5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F0C86" w:rsidRPr="00FF0C86" w:rsidRDefault="00E459C3" w:rsidP="00E97D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salario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medio dun asalariado ou asalariada </w:t>
      </w:r>
      <w:r w:rsidR="00C017C2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a parte máis alta da táboa, </w:t>
      </w:r>
      <w:r w:rsidR="00C017C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máis de 10 veces o SMI</w:t>
      </w:r>
      <w:r w:rsidR="00C017C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equivale</w:t>
      </w:r>
      <w:r w:rsidR="00C017C2">
        <w:rPr>
          <w:rFonts w:ascii="Arial" w:hAnsi="Arial" w:cs="Arial"/>
          <w:sz w:val="24"/>
          <w:szCs w:val="24"/>
        </w:rPr>
        <w:t xml:space="preserve"> </w:t>
      </w:r>
      <w:r w:rsidR="00ED1716">
        <w:rPr>
          <w:rFonts w:ascii="Arial" w:hAnsi="Arial" w:cs="Arial"/>
          <w:sz w:val="24"/>
          <w:szCs w:val="24"/>
        </w:rPr>
        <w:t>a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75 da parte máis baixa </w:t>
      </w:r>
      <w:r w:rsidR="00C017C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menos da metade do SMI</w:t>
      </w:r>
      <w:r w:rsidR="00C017C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  <w:r w:rsidR="00FF0C86">
        <w:rPr>
          <w:rFonts w:ascii="Arial" w:hAnsi="Arial" w:cs="Arial"/>
          <w:sz w:val="24"/>
          <w:szCs w:val="24"/>
        </w:rPr>
        <w:t xml:space="preserve"> No ano 2009, a equivalencia era de 1 a 66.</w:t>
      </w:r>
    </w:p>
    <w:p w:rsidR="00ED1716" w:rsidRPr="00ED1716" w:rsidRDefault="00ED1716" w:rsidP="00E97D5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ED1716" w:rsidRDefault="00ED1716" w:rsidP="00E97D5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Estas fortes diferenzas explican que o 61% dos asalariados/as en</w:t>
      </w:r>
      <w:r w:rsidR="00A34D5D">
        <w:rPr>
          <w:rFonts w:ascii="Arial" w:hAnsi="Arial" w:cs="Arial"/>
          <w:sz w:val="24"/>
          <w:szCs w:val="24"/>
        </w:rPr>
        <w:t xml:space="preserve"> </w:t>
      </w:r>
      <w:r w:rsidR="007D676E">
        <w:rPr>
          <w:rFonts w:ascii="Arial" w:hAnsi="Arial" w:cs="Arial"/>
          <w:sz w:val="24"/>
          <w:szCs w:val="24"/>
        </w:rPr>
        <w:t>Galiz</w:t>
      </w:r>
      <w:r>
        <w:rPr>
          <w:rFonts w:ascii="Arial" w:hAnsi="Arial" w:cs="Arial"/>
          <w:sz w:val="24"/>
          <w:szCs w:val="24"/>
        </w:rPr>
        <w:t>a non acada</w:t>
      </w:r>
      <w:r w:rsidR="007D676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n o salario medio</w:t>
      </w:r>
      <w:r w:rsidR="00A34D5D">
        <w:rPr>
          <w:rFonts w:ascii="Arial" w:hAnsi="Arial" w:cs="Arial"/>
          <w:sz w:val="24"/>
          <w:szCs w:val="24"/>
        </w:rPr>
        <w:t xml:space="preserve"> (17.729 euros)</w:t>
      </w:r>
      <w:r>
        <w:rPr>
          <w:rFonts w:ascii="Arial" w:hAnsi="Arial" w:cs="Arial"/>
          <w:sz w:val="24"/>
          <w:szCs w:val="24"/>
        </w:rPr>
        <w:t xml:space="preserve"> </w:t>
      </w:r>
      <w:r w:rsidR="00880862">
        <w:rPr>
          <w:rFonts w:ascii="Arial" w:hAnsi="Arial" w:cs="Arial"/>
          <w:sz w:val="24"/>
          <w:szCs w:val="24"/>
        </w:rPr>
        <w:t>durante 2014.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0C86" w:rsidRPr="00FF0C86" w:rsidRDefault="00FF0C86" w:rsidP="00E97D5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F0C86" w:rsidRDefault="00FF0C86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 forte desigualdade </w:t>
      </w:r>
      <w:r w:rsidR="007D676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causa</w:t>
      </w:r>
      <w:r w:rsidR="007D67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 a súa vez consecuencia</w:t>
      </w:r>
      <w:r w:rsidR="007D676E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do forte debilitamento do mundo do traballo. O descenso dos salarios da maioría da poboación asalariada en temos reais, xunto co descenso do número de asalariados</w:t>
      </w:r>
      <w:r w:rsidR="007D676E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>, explica que as rendas do traballo, como porcen</w:t>
      </w:r>
      <w:r w:rsidR="007D676E">
        <w:rPr>
          <w:rFonts w:ascii="Arial" w:hAnsi="Arial" w:cs="Arial"/>
          <w:sz w:val="24"/>
          <w:szCs w:val="24"/>
        </w:rPr>
        <w:t>taxe das rendas totais en Galiz</w:t>
      </w:r>
      <w:r>
        <w:rPr>
          <w:rFonts w:ascii="Arial" w:hAnsi="Arial" w:cs="Arial"/>
          <w:sz w:val="24"/>
          <w:szCs w:val="24"/>
        </w:rPr>
        <w:t>a</w:t>
      </w:r>
      <w:r w:rsidR="0079270B">
        <w:rPr>
          <w:rFonts w:ascii="Arial" w:hAnsi="Arial" w:cs="Arial"/>
          <w:sz w:val="24"/>
          <w:szCs w:val="24"/>
        </w:rPr>
        <w:t>,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descende</w:t>
      </w:r>
      <w:r w:rsidR="007D676E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n de maneira significativa durante este período</w:t>
      </w:r>
      <w:r w:rsidR="007D676E">
        <w:rPr>
          <w:rFonts w:ascii="Arial" w:hAnsi="Arial" w:cs="Arial"/>
          <w:sz w:val="24"/>
          <w:szCs w:val="24"/>
        </w:rPr>
        <w:t>. N</w:t>
      </w:r>
      <w:r w:rsidR="0079270B">
        <w:rPr>
          <w:rFonts w:ascii="Arial" w:hAnsi="Arial" w:cs="Arial"/>
          <w:sz w:val="24"/>
          <w:szCs w:val="24"/>
        </w:rPr>
        <w:t xml:space="preserve">o ano 2009, representaban o 48% das rendas totais, </w:t>
      </w:r>
      <w:r w:rsidR="007D676E">
        <w:rPr>
          <w:rFonts w:ascii="Arial" w:hAnsi="Arial" w:cs="Arial"/>
          <w:sz w:val="24"/>
          <w:szCs w:val="24"/>
        </w:rPr>
        <w:t xml:space="preserve">e </w:t>
      </w:r>
      <w:r w:rsidR="0079270B">
        <w:rPr>
          <w:rFonts w:ascii="Arial" w:hAnsi="Arial" w:cs="Arial"/>
          <w:sz w:val="24"/>
          <w:szCs w:val="24"/>
        </w:rPr>
        <w:t>en 2014 representan o 44,6%. Est</w:t>
      </w:r>
      <w:r w:rsidR="007D676E">
        <w:rPr>
          <w:rFonts w:ascii="Arial" w:hAnsi="Arial" w:cs="Arial"/>
          <w:sz w:val="24"/>
          <w:szCs w:val="24"/>
        </w:rPr>
        <w:t>a</w:t>
      </w:r>
      <w:r w:rsidR="0079270B">
        <w:rPr>
          <w:rFonts w:ascii="Arial" w:hAnsi="Arial" w:cs="Arial"/>
          <w:sz w:val="24"/>
          <w:szCs w:val="24"/>
        </w:rPr>
        <w:t xml:space="preserve"> baix</w:t>
      </w:r>
      <w:r w:rsidR="007D676E">
        <w:rPr>
          <w:rFonts w:ascii="Arial" w:hAnsi="Arial" w:cs="Arial"/>
          <w:sz w:val="24"/>
          <w:szCs w:val="24"/>
        </w:rPr>
        <w:t>ada</w:t>
      </w:r>
      <w:r w:rsidR="0079270B">
        <w:rPr>
          <w:rFonts w:ascii="Arial" w:hAnsi="Arial" w:cs="Arial"/>
          <w:sz w:val="24"/>
          <w:szCs w:val="24"/>
        </w:rPr>
        <w:t xml:space="preserve"> das rendas do traballo foi </w:t>
      </w:r>
      <w:r w:rsidR="007D676E">
        <w:rPr>
          <w:rFonts w:ascii="Arial" w:hAnsi="Arial" w:cs="Arial"/>
          <w:sz w:val="24"/>
          <w:szCs w:val="24"/>
        </w:rPr>
        <w:t>en beneficio das rendas do capital. E</w:t>
      </w:r>
      <w:r w:rsidR="0079270B">
        <w:rPr>
          <w:rFonts w:ascii="Arial" w:hAnsi="Arial" w:cs="Arial"/>
          <w:sz w:val="24"/>
          <w:szCs w:val="24"/>
        </w:rPr>
        <w:t>stas rendas medraron significativamente, dun 43,6% no ano 2009 a un 45,5% en 2014.</w:t>
      </w:r>
    </w:p>
    <w:p w:rsidR="0079270B" w:rsidRDefault="0079270B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vemos as desigualdades de renda aumentaron de forma m</w:t>
      </w:r>
      <w:r w:rsidR="007D676E">
        <w:rPr>
          <w:rFonts w:ascii="Arial" w:hAnsi="Arial" w:cs="Arial"/>
          <w:sz w:val="24"/>
          <w:szCs w:val="24"/>
        </w:rPr>
        <w:t>oi marcada neste período, ao</w:t>
      </w:r>
      <w:r>
        <w:rPr>
          <w:rFonts w:ascii="Arial" w:hAnsi="Arial" w:cs="Arial"/>
          <w:sz w:val="24"/>
          <w:szCs w:val="24"/>
        </w:rPr>
        <w:t xml:space="preserve"> que hai que sumar o aumento das desigualdades dentro das rendas do traballo, que como vimos anteriormente medraron de forma exponencial</w:t>
      </w:r>
      <w:r w:rsidR="007D676E">
        <w:rPr>
          <w:rFonts w:ascii="Arial" w:hAnsi="Arial" w:cs="Arial"/>
          <w:sz w:val="24"/>
          <w:szCs w:val="24"/>
        </w:rPr>
        <w:t>. Abonda com</w:t>
      </w:r>
      <w:r w:rsidR="00785A6B">
        <w:rPr>
          <w:rFonts w:ascii="Arial" w:hAnsi="Arial" w:cs="Arial"/>
          <w:sz w:val="24"/>
          <w:szCs w:val="24"/>
        </w:rPr>
        <w:t>o exemplo o incremento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785A6B">
        <w:rPr>
          <w:rFonts w:ascii="Arial" w:hAnsi="Arial" w:cs="Arial"/>
          <w:sz w:val="24"/>
          <w:szCs w:val="24"/>
        </w:rPr>
        <w:t>da diferen</w:t>
      </w:r>
      <w:r w:rsidR="007D676E">
        <w:rPr>
          <w:rFonts w:ascii="Arial" w:hAnsi="Arial" w:cs="Arial"/>
          <w:sz w:val="24"/>
          <w:szCs w:val="24"/>
        </w:rPr>
        <w:t>z</w:t>
      </w:r>
      <w:r w:rsidR="00785A6B">
        <w:rPr>
          <w:rFonts w:ascii="Arial" w:hAnsi="Arial" w:cs="Arial"/>
          <w:sz w:val="24"/>
          <w:szCs w:val="24"/>
        </w:rPr>
        <w:t>a entre</w:t>
      </w:r>
      <w:r w:rsidR="007D676E">
        <w:rPr>
          <w:rFonts w:ascii="Arial" w:hAnsi="Arial" w:cs="Arial"/>
          <w:sz w:val="24"/>
          <w:szCs w:val="24"/>
        </w:rPr>
        <w:t xml:space="preserve"> os/as</w:t>
      </w:r>
      <w:r w:rsidR="00785A6B">
        <w:rPr>
          <w:rFonts w:ascii="Arial" w:hAnsi="Arial" w:cs="Arial"/>
          <w:sz w:val="24"/>
          <w:szCs w:val="24"/>
        </w:rPr>
        <w:t xml:space="preserve"> que menos gañan e </w:t>
      </w:r>
      <w:r w:rsidR="007D676E">
        <w:rPr>
          <w:rFonts w:ascii="Arial" w:hAnsi="Arial" w:cs="Arial"/>
          <w:sz w:val="24"/>
          <w:szCs w:val="24"/>
        </w:rPr>
        <w:t>os/a</w:t>
      </w:r>
      <w:r w:rsidR="00785A6B">
        <w:rPr>
          <w:rFonts w:ascii="Arial" w:hAnsi="Arial" w:cs="Arial"/>
          <w:sz w:val="24"/>
          <w:szCs w:val="24"/>
        </w:rPr>
        <w:t>s que máis, que pasou dun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785A6B">
        <w:rPr>
          <w:rFonts w:ascii="Arial" w:hAnsi="Arial" w:cs="Arial"/>
          <w:sz w:val="24"/>
          <w:szCs w:val="24"/>
        </w:rPr>
        <w:t>xa avultado 66 a 1, a 75 a 1.</w:t>
      </w:r>
    </w:p>
    <w:p w:rsidR="001F76F4" w:rsidRPr="001F76F4" w:rsidRDefault="00837CB1" w:rsidP="00E97D52">
      <w:pPr>
        <w:pStyle w:val="Prrafodelista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Ingresos</w:t>
      </w:r>
      <w:r w:rsidR="005E40CD">
        <w:rPr>
          <w:rFonts w:ascii="Arial" w:hAnsi="Arial" w:cs="Arial"/>
          <w:b/>
          <w:sz w:val="28"/>
          <w:szCs w:val="28"/>
        </w:rPr>
        <w:t xml:space="preserve"> </w:t>
      </w:r>
      <w:r w:rsidR="001F76F4" w:rsidRPr="001F76F4">
        <w:rPr>
          <w:rFonts w:ascii="Arial" w:hAnsi="Arial" w:cs="Arial"/>
          <w:b/>
          <w:sz w:val="28"/>
          <w:szCs w:val="28"/>
        </w:rPr>
        <w:t>salariais por idade.</w:t>
      </w:r>
    </w:p>
    <w:p w:rsidR="001F76F4" w:rsidRDefault="001F76F4" w:rsidP="00E97D5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F76F4" w:rsidRDefault="00F05927" w:rsidP="00E97D5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 múl</w:t>
      </w:r>
      <w:r w:rsidR="00E93477">
        <w:rPr>
          <w:rFonts w:ascii="Arial" w:hAnsi="Arial" w:cs="Arial"/>
          <w:sz w:val="24"/>
          <w:szCs w:val="24"/>
        </w:rPr>
        <w:t xml:space="preserve">tiples os factores que explican </w:t>
      </w:r>
      <w:r w:rsidR="00160549">
        <w:rPr>
          <w:rFonts w:ascii="Arial" w:hAnsi="Arial" w:cs="Arial"/>
          <w:sz w:val="24"/>
          <w:szCs w:val="24"/>
        </w:rPr>
        <w:t>as diferenzas de ingresos entre uns traballadores</w:t>
      </w:r>
      <w:r w:rsidR="007D676E">
        <w:rPr>
          <w:rFonts w:ascii="Arial" w:hAnsi="Arial" w:cs="Arial"/>
          <w:sz w:val="24"/>
          <w:szCs w:val="24"/>
        </w:rPr>
        <w:t>/as</w:t>
      </w:r>
      <w:r w:rsidR="00160549">
        <w:rPr>
          <w:rFonts w:ascii="Arial" w:hAnsi="Arial" w:cs="Arial"/>
          <w:sz w:val="24"/>
          <w:szCs w:val="24"/>
        </w:rPr>
        <w:t xml:space="preserve"> e outros</w:t>
      </w:r>
      <w:r w:rsidR="007D676E">
        <w:rPr>
          <w:rFonts w:ascii="Arial" w:hAnsi="Arial" w:cs="Arial"/>
          <w:sz w:val="24"/>
          <w:szCs w:val="24"/>
        </w:rPr>
        <w:t>/as</w:t>
      </w:r>
      <w:r w:rsidR="00160549">
        <w:rPr>
          <w:rFonts w:ascii="Arial" w:hAnsi="Arial" w:cs="Arial"/>
          <w:sz w:val="24"/>
          <w:szCs w:val="24"/>
        </w:rPr>
        <w:t xml:space="preserve">, </w:t>
      </w:r>
      <w:r w:rsidR="007D676E">
        <w:rPr>
          <w:rFonts w:ascii="Arial" w:hAnsi="Arial" w:cs="Arial"/>
          <w:sz w:val="24"/>
          <w:szCs w:val="24"/>
        </w:rPr>
        <w:t>mais</w:t>
      </w:r>
      <w:r w:rsidR="00160549">
        <w:rPr>
          <w:rFonts w:ascii="Arial" w:hAnsi="Arial" w:cs="Arial"/>
          <w:sz w:val="24"/>
          <w:szCs w:val="24"/>
        </w:rPr>
        <w:t xml:space="preserve"> sen dúbida </w:t>
      </w:r>
      <w:r w:rsidR="004466E0">
        <w:rPr>
          <w:rFonts w:ascii="Arial" w:hAnsi="Arial" w:cs="Arial"/>
          <w:sz w:val="24"/>
          <w:szCs w:val="24"/>
        </w:rPr>
        <w:t>a</w:t>
      </w:r>
      <w:r w:rsidR="00160549">
        <w:rPr>
          <w:rFonts w:ascii="Arial" w:hAnsi="Arial" w:cs="Arial"/>
          <w:sz w:val="24"/>
          <w:szCs w:val="24"/>
        </w:rPr>
        <w:t xml:space="preserve"> idade é un factor determinante. </w:t>
      </w:r>
      <w:r w:rsidR="007D676E">
        <w:rPr>
          <w:rFonts w:ascii="Arial" w:hAnsi="Arial" w:cs="Arial"/>
          <w:sz w:val="24"/>
          <w:szCs w:val="24"/>
        </w:rPr>
        <w:t>A xente máis nova é</w:t>
      </w:r>
      <w:r w:rsidR="00160549">
        <w:rPr>
          <w:rFonts w:ascii="Arial" w:hAnsi="Arial" w:cs="Arial"/>
          <w:sz w:val="24"/>
          <w:szCs w:val="24"/>
        </w:rPr>
        <w:t xml:space="preserve"> </w:t>
      </w:r>
      <w:r w:rsidR="007D676E">
        <w:rPr>
          <w:rFonts w:ascii="Arial" w:hAnsi="Arial" w:cs="Arial"/>
          <w:sz w:val="24"/>
          <w:szCs w:val="24"/>
        </w:rPr>
        <w:t xml:space="preserve">a </w:t>
      </w:r>
      <w:r w:rsidR="00160549">
        <w:rPr>
          <w:rFonts w:ascii="Arial" w:hAnsi="Arial" w:cs="Arial"/>
          <w:sz w:val="24"/>
          <w:szCs w:val="24"/>
        </w:rPr>
        <w:t>de menores ingresos e a medida que medra a idade do traballador</w:t>
      </w:r>
      <w:r w:rsidR="007D676E">
        <w:rPr>
          <w:rFonts w:ascii="Arial" w:hAnsi="Arial" w:cs="Arial"/>
          <w:sz w:val="24"/>
          <w:szCs w:val="24"/>
        </w:rPr>
        <w:t>/a</w:t>
      </w:r>
      <w:r w:rsidR="00160549">
        <w:rPr>
          <w:rFonts w:ascii="Arial" w:hAnsi="Arial" w:cs="Arial"/>
          <w:sz w:val="24"/>
          <w:szCs w:val="24"/>
        </w:rPr>
        <w:t xml:space="preserve"> medran os ingresos medios (o cadro seguinte reflícteo claramente)</w:t>
      </w:r>
      <w:r w:rsidR="004466E0">
        <w:rPr>
          <w:rFonts w:ascii="Arial" w:hAnsi="Arial" w:cs="Arial"/>
          <w:sz w:val="24"/>
          <w:szCs w:val="24"/>
        </w:rPr>
        <w:t>. P</w:t>
      </w:r>
      <w:r w:rsidR="00160549">
        <w:rPr>
          <w:rFonts w:ascii="Arial" w:hAnsi="Arial" w:cs="Arial"/>
          <w:sz w:val="24"/>
          <w:szCs w:val="24"/>
        </w:rPr>
        <w:t xml:space="preserve">ero isto non se produce </w:t>
      </w:r>
      <w:r w:rsidR="004466E0">
        <w:rPr>
          <w:rFonts w:ascii="Arial" w:hAnsi="Arial" w:cs="Arial"/>
          <w:sz w:val="24"/>
          <w:szCs w:val="24"/>
        </w:rPr>
        <w:t>a consecuencia da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160549">
        <w:rPr>
          <w:rFonts w:ascii="Arial" w:hAnsi="Arial" w:cs="Arial"/>
          <w:sz w:val="24"/>
          <w:szCs w:val="24"/>
        </w:rPr>
        <w:t xml:space="preserve">idade, senón polo momento en que se incorporan </w:t>
      </w:r>
      <w:r w:rsidR="007D676E">
        <w:rPr>
          <w:rFonts w:ascii="Arial" w:hAnsi="Arial" w:cs="Arial"/>
          <w:sz w:val="24"/>
          <w:szCs w:val="24"/>
        </w:rPr>
        <w:t>ao</w:t>
      </w:r>
      <w:r w:rsidR="00173337">
        <w:rPr>
          <w:rFonts w:ascii="Arial" w:hAnsi="Arial" w:cs="Arial"/>
          <w:sz w:val="24"/>
          <w:szCs w:val="24"/>
        </w:rPr>
        <w:t xml:space="preserve"> mercado de traballo. C</w:t>
      </w:r>
      <w:r w:rsidR="00DF7B16">
        <w:rPr>
          <w:rFonts w:ascii="Arial" w:hAnsi="Arial" w:cs="Arial"/>
          <w:sz w:val="24"/>
          <w:szCs w:val="24"/>
        </w:rPr>
        <w:t>omo os últimos en incorporarse son, maioritariamente, os máis novos</w:t>
      </w:r>
      <w:r w:rsidR="007D676E">
        <w:rPr>
          <w:rFonts w:ascii="Arial" w:hAnsi="Arial" w:cs="Arial"/>
          <w:sz w:val="24"/>
          <w:szCs w:val="24"/>
        </w:rPr>
        <w:t>/as</w:t>
      </w:r>
      <w:r w:rsidR="00DF7B16">
        <w:rPr>
          <w:rFonts w:ascii="Arial" w:hAnsi="Arial" w:cs="Arial"/>
          <w:sz w:val="24"/>
          <w:szCs w:val="24"/>
        </w:rPr>
        <w:t>, f</w:t>
      </w:r>
      <w:r w:rsidR="00173337">
        <w:rPr>
          <w:rFonts w:ascii="Arial" w:hAnsi="Arial" w:cs="Arial"/>
          <w:sz w:val="24"/>
          <w:szCs w:val="24"/>
        </w:rPr>
        <w:t>o</w:t>
      </w:r>
      <w:r w:rsidR="00DF7B16">
        <w:rPr>
          <w:rFonts w:ascii="Arial" w:hAnsi="Arial" w:cs="Arial"/>
          <w:sz w:val="24"/>
          <w:szCs w:val="24"/>
        </w:rPr>
        <w:t>ron os máis prexudicados pol</w:t>
      </w:r>
      <w:r w:rsidR="007D676E">
        <w:rPr>
          <w:rFonts w:ascii="Arial" w:hAnsi="Arial" w:cs="Arial"/>
          <w:sz w:val="24"/>
          <w:szCs w:val="24"/>
        </w:rPr>
        <w:t>a</w:t>
      </w:r>
      <w:r w:rsidR="00DF7B16">
        <w:rPr>
          <w:rFonts w:ascii="Arial" w:hAnsi="Arial" w:cs="Arial"/>
          <w:sz w:val="24"/>
          <w:szCs w:val="24"/>
        </w:rPr>
        <w:t xml:space="preserve"> precarización do mundo do traballo </w:t>
      </w:r>
      <w:r w:rsidR="007D676E">
        <w:rPr>
          <w:rFonts w:ascii="Arial" w:hAnsi="Arial" w:cs="Arial"/>
          <w:sz w:val="24"/>
          <w:szCs w:val="24"/>
        </w:rPr>
        <w:t xml:space="preserve">á </w:t>
      </w:r>
      <w:r w:rsidR="00DF7B16">
        <w:rPr>
          <w:rFonts w:ascii="Arial" w:hAnsi="Arial" w:cs="Arial"/>
          <w:sz w:val="24"/>
          <w:szCs w:val="24"/>
        </w:rPr>
        <w:t>que asistimos nos últimos anos</w:t>
      </w:r>
      <w:r w:rsidR="007D676E">
        <w:rPr>
          <w:rFonts w:ascii="Arial" w:hAnsi="Arial" w:cs="Arial"/>
          <w:sz w:val="24"/>
          <w:szCs w:val="24"/>
        </w:rPr>
        <w:t>,</w:t>
      </w:r>
      <w:r w:rsidR="00DF7B16">
        <w:rPr>
          <w:rFonts w:ascii="Arial" w:hAnsi="Arial" w:cs="Arial"/>
          <w:sz w:val="24"/>
          <w:szCs w:val="24"/>
        </w:rPr>
        <w:t xml:space="preserve"> propiciad</w:t>
      </w:r>
      <w:r w:rsidR="007D676E">
        <w:rPr>
          <w:rFonts w:ascii="Arial" w:hAnsi="Arial" w:cs="Arial"/>
          <w:sz w:val="24"/>
          <w:szCs w:val="24"/>
        </w:rPr>
        <w:t>a</w:t>
      </w:r>
      <w:r w:rsidR="00DF7B16">
        <w:rPr>
          <w:rFonts w:ascii="Arial" w:hAnsi="Arial" w:cs="Arial"/>
          <w:sz w:val="24"/>
          <w:szCs w:val="24"/>
        </w:rPr>
        <w:t xml:space="preserve"> e agravad</w:t>
      </w:r>
      <w:r w:rsidR="007D676E">
        <w:rPr>
          <w:rFonts w:ascii="Arial" w:hAnsi="Arial" w:cs="Arial"/>
          <w:sz w:val="24"/>
          <w:szCs w:val="24"/>
        </w:rPr>
        <w:t>a</w:t>
      </w:r>
      <w:r w:rsidR="00DF7B16">
        <w:rPr>
          <w:rFonts w:ascii="Arial" w:hAnsi="Arial" w:cs="Arial"/>
          <w:sz w:val="24"/>
          <w:szCs w:val="24"/>
        </w:rPr>
        <w:t xml:space="preserve"> polas reformas laborais aprobadas neste período.</w:t>
      </w:r>
    </w:p>
    <w:p w:rsidR="00160549" w:rsidRDefault="00160549" w:rsidP="00E97D5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73337" w:rsidRDefault="00173337" w:rsidP="00E97D5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calquera de máis idade se i</w:t>
      </w:r>
      <w:r w:rsidR="00441D81">
        <w:rPr>
          <w:rFonts w:ascii="Arial" w:hAnsi="Arial" w:cs="Arial"/>
          <w:sz w:val="24"/>
          <w:szCs w:val="24"/>
        </w:rPr>
        <w:t>ncorporou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neste </w:t>
      </w:r>
      <w:r w:rsidR="00441D81">
        <w:rPr>
          <w:rFonts w:ascii="Arial" w:hAnsi="Arial" w:cs="Arial"/>
          <w:sz w:val="24"/>
          <w:szCs w:val="24"/>
        </w:rPr>
        <w:t>período,</w:t>
      </w:r>
      <w:r>
        <w:rPr>
          <w:rFonts w:ascii="Arial" w:hAnsi="Arial" w:cs="Arial"/>
          <w:sz w:val="24"/>
          <w:szCs w:val="24"/>
        </w:rPr>
        <w:t xml:space="preserve"> as condicións</w:t>
      </w:r>
      <w:r w:rsidR="00441D81">
        <w:rPr>
          <w:rFonts w:ascii="Arial" w:hAnsi="Arial" w:cs="Arial"/>
          <w:sz w:val="24"/>
          <w:szCs w:val="24"/>
        </w:rPr>
        <w:t xml:space="preserve"> laborais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son as mesma</w:t>
      </w:r>
      <w:r w:rsidR="007D676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que para</w:t>
      </w:r>
      <w:r w:rsidR="007D676E">
        <w:rPr>
          <w:rFonts w:ascii="Arial" w:hAnsi="Arial" w:cs="Arial"/>
          <w:sz w:val="24"/>
          <w:szCs w:val="24"/>
        </w:rPr>
        <w:t xml:space="preserve"> a xente nova</w:t>
      </w:r>
      <w:r>
        <w:rPr>
          <w:rFonts w:ascii="Arial" w:hAnsi="Arial" w:cs="Arial"/>
          <w:sz w:val="24"/>
          <w:szCs w:val="24"/>
        </w:rPr>
        <w:t>.</w:t>
      </w:r>
    </w:p>
    <w:p w:rsidR="001F76F4" w:rsidRDefault="001F76F4" w:rsidP="00E97D5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F76F4" w:rsidRDefault="001F76F4" w:rsidP="00E97D52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F76F4" w:rsidRPr="004A3084" w:rsidRDefault="001F76F4" w:rsidP="00E97D52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Asalariados</w:t>
      </w:r>
      <w:r w:rsidR="007D676E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e salario medio (SM) segundo idade.</w:t>
      </w:r>
    </w:p>
    <w:tbl>
      <w:tblPr>
        <w:tblStyle w:val="Sombreadoclaro-nfasis11"/>
        <w:tblW w:w="10500" w:type="dxa"/>
        <w:tblInd w:w="-824" w:type="dxa"/>
        <w:tblLook w:val="04A0" w:firstRow="1" w:lastRow="0" w:firstColumn="1" w:lastColumn="0" w:noHBand="0" w:noVBand="1"/>
      </w:tblPr>
      <w:tblGrid>
        <w:gridCol w:w="1860"/>
        <w:gridCol w:w="1537"/>
        <w:gridCol w:w="1063"/>
        <w:gridCol w:w="1320"/>
        <w:gridCol w:w="1120"/>
        <w:gridCol w:w="1200"/>
        <w:gridCol w:w="1200"/>
        <w:gridCol w:w="1200"/>
      </w:tblGrid>
      <w:tr w:rsidR="001F76F4" w:rsidRPr="001F76F4" w:rsidTr="001F76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1F76F4" w:rsidRPr="001F76F4" w:rsidRDefault="001F76F4" w:rsidP="00E97D52">
            <w:p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2600" w:type="dxa"/>
            <w:gridSpan w:val="2"/>
            <w:noWrap/>
            <w:hideMark/>
          </w:tcPr>
          <w:p w:rsidR="001F76F4" w:rsidRPr="001F76F4" w:rsidRDefault="001F76F4" w:rsidP="00E97D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2009</w:t>
            </w:r>
          </w:p>
        </w:tc>
        <w:tc>
          <w:tcPr>
            <w:tcW w:w="2440" w:type="dxa"/>
            <w:gridSpan w:val="2"/>
            <w:noWrap/>
            <w:hideMark/>
          </w:tcPr>
          <w:p w:rsidR="001F76F4" w:rsidRPr="001F76F4" w:rsidRDefault="001F76F4" w:rsidP="00E97D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2014</w:t>
            </w:r>
          </w:p>
        </w:tc>
        <w:tc>
          <w:tcPr>
            <w:tcW w:w="2400" w:type="dxa"/>
            <w:gridSpan w:val="2"/>
            <w:noWrap/>
            <w:hideMark/>
          </w:tcPr>
          <w:p w:rsidR="001F76F4" w:rsidRPr="001F76F4" w:rsidRDefault="001F76F4" w:rsidP="00E97D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% / SM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Diferen</w:t>
            </w:r>
            <w:r w:rsidR="00030B92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za </w:t>
            </w:r>
            <w:r w:rsidR="008D4636">
              <w:rPr>
                <w:rFonts w:ascii="Calibri" w:eastAsia="Times New Roman" w:hAnsi="Calibri" w:cs="Times New Roman"/>
                <w:color w:val="000000"/>
                <w:lang w:val="en-US"/>
              </w:rPr>
              <w:t>%</w:t>
            </w:r>
          </w:p>
        </w:tc>
      </w:tr>
      <w:tr w:rsidR="001F76F4" w:rsidRPr="001F76F4" w:rsidTr="001F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1F76F4" w:rsidRPr="001F76F4" w:rsidRDefault="001F76F4" w:rsidP="00E97D52">
            <w:p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Tramos de idade</w:t>
            </w:r>
          </w:p>
        </w:tc>
        <w:tc>
          <w:tcPr>
            <w:tcW w:w="1537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Asal</w:t>
            </w:r>
          </w:p>
        </w:tc>
        <w:tc>
          <w:tcPr>
            <w:tcW w:w="1063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SMA</w:t>
            </w:r>
          </w:p>
        </w:tc>
        <w:tc>
          <w:tcPr>
            <w:tcW w:w="13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Asal</w:t>
            </w:r>
          </w:p>
        </w:tc>
        <w:tc>
          <w:tcPr>
            <w:tcW w:w="11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SMA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2009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2014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14/09</w:t>
            </w:r>
          </w:p>
        </w:tc>
      </w:tr>
      <w:tr w:rsidR="001F76F4" w:rsidRPr="001F76F4" w:rsidTr="001F76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1F76F4" w:rsidRPr="001F76F4" w:rsidRDefault="001F76F4" w:rsidP="00E97D52">
            <w:p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Total</w:t>
            </w:r>
          </w:p>
        </w:tc>
        <w:tc>
          <w:tcPr>
            <w:tcW w:w="1537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1.092.431 </w:t>
            </w:r>
          </w:p>
        </w:tc>
        <w:tc>
          <w:tcPr>
            <w:tcW w:w="1063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18.217 </w:t>
            </w:r>
          </w:p>
        </w:tc>
        <w:tc>
          <w:tcPr>
            <w:tcW w:w="13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968.376 </w:t>
            </w:r>
          </w:p>
        </w:tc>
        <w:tc>
          <w:tcPr>
            <w:tcW w:w="11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17.729 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100,00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100,00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-2,68</w:t>
            </w:r>
          </w:p>
        </w:tc>
      </w:tr>
      <w:tr w:rsidR="001F76F4" w:rsidRPr="001F76F4" w:rsidTr="001F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1F76F4" w:rsidRPr="001F76F4" w:rsidRDefault="001F76F4" w:rsidP="00E97D52">
            <w:p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Menor de 18 </w:t>
            </w:r>
          </w:p>
        </w:tc>
        <w:tc>
          <w:tcPr>
            <w:tcW w:w="1537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3.754 </w:t>
            </w:r>
          </w:p>
        </w:tc>
        <w:tc>
          <w:tcPr>
            <w:tcW w:w="1063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4.358 </w:t>
            </w:r>
          </w:p>
        </w:tc>
        <w:tc>
          <w:tcPr>
            <w:tcW w:w="13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1.786 </w:t>
            </w:r>
          </w:p>
        </w:tc>
        <w:tc>
          <w:tcPr>
            <w:tcW w:w="11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3.895 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23,92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21,97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-10,62</w:t>
            </w:r>
          </w:p>
        </w:tc>
      </w:tr>
      <w:tr w:rsidR="001F76F4" w:rsidRPr="001F76F4" w:rsidTr="001F76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1F76F4" w:rsidRPr="001F76F4" w:rsidRDefault="001F76F4" w:rsidP="00E97D52">
            <w:p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De 18 a 25</w:t>
            </w:r>
          </w:p>
        </w:tc>
        <w:tc>
          <w:tcPr>
            <w:tcW w:w="1537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120.339 </w:t>
            </w:r>
          </w:p>
        </w:tc>
        <w:tc>
          <w:tcPr>
            <w:tcW w:w="1063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8.341 </w:t>
            </w:r>
          </w:p>
        </w:tc>
        <w:tc>
          <w:tcPr>
            <w:tcW w:w="13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72.849 </w:t>
            </w:r>
          </w:p>
        </w:tc>
        <w:tc>
          <w:tcPr>
            <w:tcW w:w="11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6.020 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45,79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33,96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-27,83</w:t>
            </w:r>
          </w:p>
        </w:tc>
      </w:tr>
      <w:tr w:rsidR="001F76F4" w:rsidRPr="001F76F4" w:rsidTr="001F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1F76F4" w:rsidRPr="001F76F4" w:rsidRDefault="001F76F4" w:rsidP="00E97D52">
            <w:p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De 26 a 35</w:t>
            </w:r>
          </w:p>
        </w:tc>
        <w:tc>
          <w:tcPr>
            <w:tcW w:w="1537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326.813 </w:t>
            </w:r>
          </w:p>
        </w:tc>
        <w:tc>
          <w:tcPr>
            <w:tcW w:w="1063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15.442 </w:t>
            </w:r>
          </w:p>
        </w:tc>
        <w:tc>
          <w:tcPr>
            <w:tcW w:w="13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239.888 </w:t>
            </w:r>
          </w:p>
        </w:tc>
        <w:tc>
          <w:tcPr>
            <w:tcW w:w="11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13.629 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84,77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76,87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-11,74</w:t>
            </w:r>
          </w:p>
        </w:tc>
      </w:tr>
      <w:tr w:rsidR="001F76F4" w:rsidRPr="001F76F4" w:rsidTr="001F76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1F76F4" w:rsidRPr="001F76F4" w:rsidRDefault="001F76F4" w:rsidP="00E97D52">
            <w:p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De 36 a</w:t>
            </w:r>
            <w:r w:rsidR="005E40C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45</w:t>
            </w:r>
          </w:p>
        </w:tc>
        <w:tc>
          <w:tcPr>
            <w:tcW w:w="1537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294.263 </w:t>
            </w:r>
          </w:p>
        </w:tc>
        <w:tc>
          <w:tcPr>
            <w:tcW w:w="1063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19.546 </w:t>
            </w:r>
          </w:p>
        </w:tc>
        <w:tc>
          <w:tcPr>
            <w:tcW w:w="13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296.077 </w:t>
            </w:r>
          </w:p>
        </w:tc>
        <w:tc>
          <w:tcPr>
            <w:tcW w:w="11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18.564 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107,30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104,71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-5,02</w:t>
            </w:r>
          </w:p>
        </w:tc>
      </w:tr>
      <w:tr w:rsidR="001F76F4" w:rsidRPr="001F76F4" w:rsidTr="001F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1F76F4" w:rsidRPr="001F76F4" w:rsidRDefault="001F76F4" w:rsidP="00E97D52">
            <w:p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De 46 a 55</w:t>
            </w:r>
          </w:p>
        </w:tc>
        <w:tc>
          <w:tcPr>
            <w:tcW w:w="1537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224.072 </w:t>
            </w:r>
          </w:p>
        </w:tc>
        <w:tc>
          <w:tcPr>
            <w:tcW w:w="1063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23.116 </w:t>
            </w:r>
          </w:p>
        </w:tc>
        <w:tc>
          <w:tcPr>
            <w:tcW w:w="13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227.710 </w:t>
            </w:r>
          </w:p>
        </w:tc>
        <w:tc>
          <w:tcPr>
            <w:tcW w:w="11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21.694 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126,89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122,36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-6,15</w:t>
            </w:r>
          </w:p>
        </w:tc>
      </w:tr>
      <w:tr w:rsidR="001F76F4" w:rsidRPr="001F76F4" w:rsidTr="001F76F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1F76F4" w:rsidRPr="001F76F4" w:rsidRDefault="001F76F4" w:rsidP="00E97D52">
            <w:p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De 56 a 65</w:t>
            </w:r>
          </w:p>
        </w:tc>
        <w:tc>
          <w:tcPr>
            <w:tcW w:w="1537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114.977 </w:t>
            </w:r>
          </w:p>
        </w:tc>
        <w:tc>
          <w:tcPr>
            <w:tcW w:w="1063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24.012 </w:t>
            </w:r>
          </w:p>
        </w:tc>
        <w:tc>
          <w:tcPr>
            <w:tcW w:w="13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121.882 </w:t>
            </w:r>
          </w:p>
        </w:tc>
        <w:tc>
          <w:tcPr>
            <w:tcW w:w="11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23.680 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131,81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133,57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-1,38</w:t>
            </w:r>
          </w:p>
        </w:tc>
      </w:tr>
      <w:tr w:rsidR="001F76F4" w:rsidRPr="001F76F4" w:rsidTr="001F76F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60" w:type="dxa"/>
            <w:noWrap/>
            <w:hideMark/>
          </w:tcPr>
          <w:p w:rsidR="001F76F4" w:rsidRPr="001F76F4" w:rsidRDefault="00560B48" w:rsidP="00E97D52">
            <w:pPr>
              <w:jc w:val="both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Má</w:t>
            </w:r>
            <w:r w:rsidR="001F76F4"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is de 65 anos.</w:t>
            </w:r>
          </w:p>
        </w:tc>
        <w:tc>
          <w:tcPr>
            <w:tcW w:w="1537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8.213 </w:t>
            </w:r>
          </w:p>
        </w:tc>
        <w:tc>
          <w:tcPr>
            <w:tcW w:w="1063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17.222 </w:t>
            </w:r>
          </w:p>
        </w:tc>
        <w:tc>
          <w:tcPr>
            <w:tcW w:w="13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8.184 </w:t>
            </w:r>
          </w:p>
        </w:tc>
        <w:tc>
          <w:tcPr>
            <w:tcW w:w="112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15.992 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94,54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90,20</w:t>
            </w:r>
          </w:p>
        </w:tc>
        <w:tc>
          <w:tcPr>
            <w:tcW w:w="1200" w:type="dxa"/>
            <w:noWrap/>
            <w:hideMark/>
          </w:tcPr>
          <w:p w:rsidR="001F76F4" w:rsidRPr="001F76F4" w:rsidRDefault="001F76F4" w:rsidP="00E97D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1F76F4">
              <w:rPr>
                <w:rFonts w:ascii="Calibri" w:eastAsia="Times New Roman" w:hAnsi="Calibri" w:cs="Times New Roman"/>
                <w:color w:val="000000"/>
                <w:lang w:val="en-US"/>
              </w:rPr>
              <w:t>-7,14</w:t>
            </w:r>
          </w:p>
        </w:tc>
      </w:tr>
    </w:tbl>
    <w:p w:rsidR="001F76F4" w:rsidRDefault="001F76F4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</w:t>
      </w:r>
      <w:r w:rsidR="007D676E">
        <w:rPr>
          <w:rFonts w:ascii="Arial" w:hAnsi="Arial" w:cs="Arial"/>
          <w:sz w:val="24"/>
          <w:szCs w:val="24"/>
        </w:rPr>
        <w:t xml:space="preserve"> El</w:t>
      </w:r>
      <w:r>
        <w:rPr>
          <w:rFonts w:ascii="Arial" w:hAnsi="Arial" w:cs="Arial"/>
          <w:sz w:val="24"/>
          <w:szCs w:val="24"/>
        </w:rPr>
        <w:t xml:space="preserve">aboración propia a partir dos datos da </w:t>
      </w:r>
      <w:r w:rsidR="007D676E">
        <w:rPr>
          <w:rFonts w:ascii="Arial" w:hAnsi="Arial" w:cs="Arial"/>
          <w:sz w:val="24"/>
          <w:szCs w:val="24"/>
        </w:rPr>
        <w:t>Ax</w:t>
      </w:r>
      <w:r>
        <w:rPr>
          <w:rFonts w:ascii="Arial" w:hAnsi="Arial" w:cs="Arial"/>
          <w:sz w:val="24"/>
          <w:szCs w:val="24"/>
        </w:rPr>
        <w:t xml:space="preserve">encia </w:t>
      </w:r>
      <w:r w:rsidR="007D676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ributaria.</w:t>
      </w:r>
    </w:p>
    <w:p w:rsidR="008D4636" w:rsidRDefault="008D4636" w:rsidP="00E97D52">
      <w:pPr>
        <w:jc w:val="both"/>
        <w:rPr>
          <w:rFonts w:ascii="Arial" w:hAnsi="Arial" w:cs="Arial"/>
          <w:sz w:val="24"/>
          <w:szCs w:val="24"/>
        </w:rPr>
      </w:pPr>
    </w:p>
    <w:p w:rsidR="004A3084" w:rsidRDefault="008D4636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dúas penúltimas columnas, onde se reflicte a por</w:t>
      </w:r>
      <w:r w:rsidR="007D676E">
        <w:rPr>
          <w:rFonts w:ascii="Arial" w:hAnsi="Arial" w:cs="Arial"/>
          <w:sz w:val="24"/>
          <w:szCs w:val="24"/>
        </w:rPr>
        <w:t>centaxe de salario en relación ao</w:t>
      </w:r>
      <w:r>
        <w:rPr>
          <w:rFonts w:ascii="Arial" w:hAnsi="Arial" w:cs="Arial"/>
          <w:sz w:val="24"/>
          <w:szCs w:val="24"/>
        </w:rPr>
        <w:t xml:space="preserve"> salario med</w:t>
      </w:r>
      <w:r w:rsidR="007D676E">
        <w:rPr>
          <w:rFonts w:ascii="Arial" w:hAnsi="Arial" w:cs="Arial"/>
          <w:sz w:val="24"/>
          <w:szCs w:val="24"/>
        </w:rPr>
        <w:t>io (SM), son moi esclarecedoras. A</w:t>
      </w:r>
      <w:r>
        <w:rPr>
          <w:rFonts w:ascii="Arial" w:hAnsi="Arial" w:cs="Arial"/>
          <w:sz w:val="24"/>
          <w:szCs w:val="24"/>
        </w:rPr>
        <w:t xml:space="preserve"> medida que se incrementa a idade dos traballadores</w:t>
      </w:r>
      <w:r w:rsidR="007D676E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medran os ingresos</w:t>
      </w:r>
      <w:r w:rsidR="007D676E">
        <w:rPr>
          <w:rFonts w:ascii="Arial" w:hAnsi="Arial" w:cs="Arial"/>
          <w:sz w:val="24"/>
          <w:szCs w:val="24"/>
        </w:rPr>
        <w:t xml:space="preserve">. Ademais, </w:t>
      </w:r>
      <w:r>
        <w:rPr>
          <w:rFonts w:ascii="Arial" w:hAnsi="Arial" w:cs="Arial"/>
          <w:sz w:val="24"/>
          <w:szCs w:val="24"/>
        </w:rPr>
        <w:t xml:space="preserve">as diferenzas </w:t>
      </w:r>
      <w:r w:rsidR="00030B92">
        <w:rPr>
          <w:rFonts w:ascii="Arial" w:hAnsi="Arial" w:cs="Arial"/>
          <w:sz w:val="24"/>
          <w:szCs w:val="24"/>
        </w:rPr>
        <w:t>afondáronse</w:t>
      </w:r>
      <w:r>
        <w:rPr>
          <w:rFonts w:ascii="Arial" w:hAnsi="Arial" w:cs="Arial"/>
          <w:sz w:val="24"/>
          <w:szCs w:val="24"/>
        </w:rPr>
        <w:t xml:space="preserve"> con respecto </w:t>
      </w:r>
      <w:r w:rsidR="007D676E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ano 2009.</w:t>
      </w:r>
    </w:p>
    <w:p w:rsidR="00030B92" w:rsidRDefault="00030B92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2009, os ingresos dun</w:t>
      </w:r>
      <w:r w:rsidR="007D676E">
        <w:rPr>
          <w:rFonts w:ascii="Arial" w:hAnsi="Arial" w:cs="Arial"/>
          <w:sz w:val="24"/>
          <w:szCs w:val="24"/>
        </w:rPr>
        <w:t>/unha</w:t>
      </w:r>
      <w:r>
        <w:rPr>
          <w:rFonts w:ascii="Arial" w:hAnsi="Arial" w:cs="Arial"/>
          <w:sz w:val="24"/>
          <w:szCs w:val="24"/>
        </w:rPr>
        <w:t xml:space="preserve"> menor de 18 anos </w:t>
      </w:r>
      <w:r w:rsidR="007D676E">
        <w:rPr>
          <w:rFonts w:ascii="Arial" w:hAnsi="Arial" w:cs="Arial"/>
          <w:sz w:val="24"/>
          <w:szCs w:val="24"/>
        </w:rPr>
        <w:t>acadaban o 24% do salario medio; 5 anos despoi</w:t>
      </w:r>
      <w:r w:rsidR="00560B48">
        <w:rPr>
          <w:rFonts w:ascii="Arial" w:hAnsi="Arial" w:cs="Arial"/>
          <w:sz w:val="24"/>
          <w:szCs w:val="24"/>
        </w:rPr>
        <w:t>s</w:t>
      </w:r>
      <w:r w:rsidR="007D676E">
        <w:rPr>
          <w:rFonts w:ascii="Arial" w:hAnsi="Arial" w:cs="Arial"/>
          <w:sz w:val="24"/>
          <w:szCs w:val="24"/>
        </w:rPr>
        <w:t>, apena</w:t>
      </w:r>
      <w:r w:rsidR="00560B48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o 22%, co engadido </w:t>
      </w:r>
      <w:r w:rsidR="007D676E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que o salario medio é un 2,6% menor.</w:t>
      </w:r>
    </w:p>
    <w:p w:rsidR="00A70E42" w:rsidRDefault="00A70E42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ingreso desce</w:t>
      </w:r>
      <w:r w:rsidR="00223619">
        <w:rPr>
          <w:rFonts w:ascii="Arial" w:hAnsi="Arial" w:cs="Arial"/>
          <w:sz w:val="24"/>
          <w:szCs w:val="24"/>
        </w:rPr>
        <w:t xml:space="preserve">ndeu en </w:t>
      </w:r>
      <w:r w:rsidR="00D87BCE">
        <w:rPr>
          <w:rFonts w:ascii="Arial" w:hAnsi="Arial" w:cs="Arial"/>
          <w:sz w:val="24"/>
          <w:szCs w:val="24"/>
        </w:rPr>
        <w:t>todos os</w:t>
      </w:r>
      <w:r w:rsidR="00223619">
        <w:rPr>
          <w:rFonts w:ascii="Arial" w:hAnsi="Arial" w:cs="Arial"/>
          <w:sz w:val="24"/>
          <w:szCs w:val="24"/>
        </w:rPr>
        <w:t xml:space="preserve"> grupos de idade, pero sobre todo entre os</w:t>
      </w:r>
      <w:r w:rsidR="001A3DD0">
        <w:rPr>
          <w:rFonts w:ascii="Arial" w:hAnsi="Arial" w:cs="Arial"/>
          <w:sz w:val="24"/>
          <w:szCs w:val="24"/>
        </w:rPr>
        <w:t xml:space="preserve"> </w:t>
      </w:r>
      <w:r w:rsidR="00223619">
        <w:rPr>
          <w:rFonts w:ascii="Arial" w:hAnsi="Arial" w:cs="Arial"/>
          <w:sz w:val="24"/>
          <w:szCs w:val="24"/>
        </w:rPr>
        <w:t>menores de 35, especialmente entre o colectivo entre 18 e 25 anos, cuxos ingresos son un 27,8% inferiores, de media</w:t>
      </w:r>
      <w:r w:rsidR="004466E0">
        <w:rPr>
          <w:rFonts w:ascii="Arial" w:hAnsi="Arial" w:cs="Arial"/>
          <w:sz w:val="24"/>
          <w:szCs w:val="24"/>
        </w:rPr>
        <w:t>,</w:t>
      </w:r>
      <w:r w:rsidR="00223619">
        <w:rPr>
          <w:rFonts w:ascii="Arial" w:hAnsi="Arial" w:cs="Arial"/>
          <w:sz w:val="24"/>
          <w:szCs w:val="24"/>
        </w:rPr>
        <w:t xml:space="preserve"> </w:t>
      </w:r>
      <w:r w:rsidR="001A3DD0">
        <w:rPr>
          <w:rFonts w:ascii="Arial" w:hAnsi="Arial" w:cs="Arial"/>
          <w:sz w:val="24"/>
          <w:szCs w:val="24"/>
        </w:rPr>
        <w:t>ao</w:t>
      </w:r>
      <w:r w:rsidR="00223619">
        <w:rPr>
          <w:rFonts w:ascii="Arial" w:hAnsi="Arial" w:cs="Arial"/>
          <w:sz w:val="24"/>
          <w:szCs w:val="24"/>
        </w:rPr>
        <w:t xml:space="preserve"> ano 2009.</w:t>
      </w:r>
    </w:p>
    <w:p w:rsidR="00890CB4" w:rsidRDefault="00890CB4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ingresos dos maiores de</w:t>
      </w:r>
      <w:r w:rsidR="00FE4F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56 anos practicamente cuadriplican os dos menores de 25 anos.</w:t>
      </w:r>
    </w:p>
    <w:p w:rsidR="008D4636" w:rsidRDefault="00223619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Tamén é entre os menores de 35 anos onde se perderon os postos de traballo</w:t>
      </w:r>
      <w:r w:rsidR="001A3DD0">
        <w:rPr>
          <w:rFonts w:ascii="Arial" w:hAnsi="Arial" w:cs="Arial"/>
          <w:sz w:val="24"/>
          <w:szCs w:val="24"/>
        </w:rPr>
        <w:t>. De feito,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desta idade incrementouse o número de asalariados e asalariadas. No que atinxe </w:t>
      </w:r>
      <w:r w:rsidR="001A3DD0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emprego</w:t>
      </w:r>
      <w:r w:rsidR="001A3D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foi entre os 26 e os 35 anos</w:t>
      </w:r>
      <w:r w:rsidR="00890CB4">
        <w:rPr>
          <w:rFonts w:ascii="Arial" w:hAnsi="Arial" w:cs="Arial"/>
          <w:sz w:val="24"/>
          <w:szCs w:val="24"/>
        </w:rPr>
        <w:t xml:space="preserve"> onde a destrución foi maior</w:t>
      </w:r>
      <w:r w:rsidR="001A3DD0">
        <w:rPr>
          <w:rFonts w:ascii="Arial" w:hAnsi="Arial" w:cs="Arial"/>
          <w:sz w:val="24"/>
          <w:szCs w:val="24"/>
        </w:rPr>
        <w:t>;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 69,3% do emprego destruído neste período afectou a este grupo de idade.</w:t>
      </w:r>
    </w:p>
    <w:p w:rsidR="00061EA3" w:rsidRDefault="00061EA3" w:rsidP="00E97D52">
      <w:pPr>
        <w:jc w:val="both"/>
        <w:rPr>
          <w:rFonts w:ascii="Arial" w:hAnsi="Arial" w:cs="Arial"/>
          <w:sz w:val="24"/>
          <w:szCs w:val="24"/>
        </w:rPr>
      </w:pPr>
    </w:p>
    <w:p w:rsidR="00061EA3" w:rsidRPr="00061EA3" w:rsidRDefault="00061EA3" w:rsidP="00061EA3">
      <w:pPr>
        <w:rPr>
          <w:rFonts w:ascii="Arial" w:hAnsi="Arial" w:cs="Arial"/>
          <w:b/>
          <w:sz w:val="28"/>
          <w:szCs w:val="28"/>
        </w:rPr>
      </w:pPr>
      <w:r w:rsidRPr="00061EA3">
        <w:rPr>
          <w:rFonts w:ascii="Arial" w:hAnsi="Arial" w:cs="Arial"/>
          <w:b/>
          <w:sz w:val="28"/>
          <w:szCs w:val="28"/>
        </w:rPr>
        <w:t>Ingresos salariais medios segundo rama de actividade.</w:t>
      </w:r>
    </w:p>
    <w:p w:rsidR="008D4636" w:rsidRDefault="00061EA3" w:rsidP="004A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Ingresos salariais medios segundo rama de actividade.</w:t>
      </w:r>
    </w:p>
    <w:tbl>
      <w:tblPr>
        <w:tblStyle w:val="Sombreadoclaro-nfasis11"/>
        <w:tblW w:w="11058" w:type="dxa"/>
        <w:tblInd w:w="-591" w:type="dxa"/>
        <w:tblLook w:val="04A0" w:firstRow="1" w:lastRow="0" w:firstColumn="1" w:lastColumn="0" w:noHBand="0" w:noVBand="1"/>
      </w:tblPr>
      <w:tblGrid>
        <w:gridCol w:w="2904"/>
        <w:gridCol w:w="1248"/>
        <w:gridCol w:w="834"/>
        <w:gridCol w:w="1248"/>
        <w:gridCol w:w="834"/>
        <w:gridCol w:w="833"/>
        <w:gridCol w:w="833"/>
        <w:gridCol w:w="1099"/>
        <w:gridCol w:w="1225"/>
      </w:tblGrid>
      <w:tr w:rsidR="005F0C04" w:rsidRPr="005F0C04" w:rsidTr="00061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5F0C04" w:rsidP="005F0C04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gridSpan w:val="2"/>
            <w:noWrap/>
            <w:hideMark/>
          </w:tcPr>
          <w:p w:rsidR="005F0C04" w:rsidRPr="005F0C04" w:rsidRDefault="005F0C04" w:rsidP="005F0C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% / SM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223E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Diferen</w:t>
            </w:r>
            <w:r w:rsidR="00223EEE">
              <w:rPr>
                <w:rFonts w:ascii="Calibri" w:eastAsia="Times New Roman" w:hAnsi="Calibri" w:cs="Times New Roman"/>
                <w:color w:val="000000"/>
              </w:rPr>
              <w:t>z</w:t>
            </w:r>
            <w:r w:rsidRPr="005F0C04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F0C04" w:rsidRPr="005F0C04" w:rsidTr="0006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5F0C04" w:rsidP="005F0C04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Asalariados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SMA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Asalariados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SMA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2009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2014</w:t>
            </w:r>
          </w:p>
        </w:tc>
        <w:tc>
          <w:tcPr>
            <w:tcW w:w="0" w:type="auto"/>
            <w:noWrap/>
            <w:hideMark/>
          </w:tcPr>
          <w:p w:rsidR="005F0C04" w:rsidRPr="00061EA3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1EA3">
              <w:rPr>
                <w:rFonts w:ascii="Calibri" w:eastAsia="Times New Roman" w:hAnsi="Calibri" w:cs="Times New Roman"/>
                <w:color w:val="000000"/>
              </w:rPr>
              <w:t>14/09</w:t>
            </w:r>
          </w:p>
          <w:p w:rsidR="005F0C04" w:rsidRPr="005F0C04" w:rsidRDefault="00FE4A7E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1EA3">
              <w:rPr>
                <w:rFonts w:ascii="Calibri" w:eastAsia="Times New Roman" w:hAnsi="Calibri" w:cs="Times New Roman"/>
                <w:color w:val="000000"/>
              </w:rPr>
              <w:t>SMA %</w:t>
            </w:r>
          </w:p>
        </w:tc>
        <w:tc>
          <w:tcPr>
            <w:tcW w:w="0" w:type="auto"/>
            <w:noWrap/>
            <w:hideMark/>
          </w:tcPr>
          <w:p w:rsidR="005F0C04" w:rsidRPr="00061EA3" w:rsidRDefault="00FE4A7E" w:rsidP="005F0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1EA3">
              <w:rPr>
                <w:rFonts w:ascii="Calibri" w:eastAsia="Times New Roman" w:hAnsi="Calibri" w:cs="Times New Roman"/>
                <w:color w:val="000000"/>
              </w:rPr>
              <w:t>14/09</w:t>
            </w:r>
          </w:p>
          <w:p w:rsidR="00FE4A7E" w:rsidRPr="005F0C04" w:rsidRDefault="00FE4A7E" w:rsidP="005F0C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061EA3">
              <w:rPr>
                <w:rFonts w:ascii="Calibri" w:eastAsia="Times New Roman" w:hAnsi="Calibri" w:cs="Times New Roman"/>
                <w:color w:val="000000"/>
              </w:rPr>
              <w:t>asalariados</w:t>
            </w:r>
          </w:p>
        </w:tc>
      </w:tr>
      <w:tr w:rsidR="005F0C04" w:rsidRPr="005F0C04" w:rsidTr="00061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5F0C04" w:rsidP="005F0C04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1.092.431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18.217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968.376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17.729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100,00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-2,68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 xml:space="preserve">-124.055 </w:t>
            </w:r>
          </w:p>
        </w:tc>
      </w:tr>
      <w:tr w:rsidR="005F0C04" w:rsidRPr="005F0C04" w:rsidTr="0006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5F0C04" w:rsidP="005F0C04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Sector primario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22.750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13.807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24.493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9.028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75,79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50,92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-34,61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 xml:space="preserve">1.743 </w:t>
            </w:r>
          </w:p>
        </w:tc>
      </w:tr>
      <w:tr w:rsidR="005F0C04" w:rsidRPr="005F0C04" w:rsidTr="00061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061EA3" w:rsidP="005F0C0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Ind. Extrac</w:t>
            </w:r>
            <w:r w:rsidRPr="005F0C04">
              <w:rPr>
                <w:rFonts w:ascii="Calibri" w:eastAsia="Times New Roman" w:hAnsi="Calibri" w:cs="Times New Roman"/>
                <w:color w:val="000000"/>
              </w:rPr>
              <w:t>tivas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17.432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24.009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12.006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26.615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131,79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150,12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10,85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 xml:space="preserve">-5.426 </w:t>
            </w:r>
          </w:p>
        </w:tc>
      </w:tr>
      <w:tr w:rsidR="005F0C04" w:rsidRPr="005F0C04" w:rsidTr="0006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5F0C04" w:rsidP="005F0C04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Industria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155.134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18.853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125.508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19.967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103,49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112,62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5,91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 xml:space="preserve">-29.626 </w:t>
            </w:r>
          </w:p>
        </w:tc>
      </w:tr>
      <w:tr w:rsidR="005F0C04" w:rsidRPr="005F0C04" w:rsidTr="00061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5F0C04" w:rsidP="005F0C04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Construción e servizos inmob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132.698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16.361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76.289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16.266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89,81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91,75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-0,58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 xml:space="preserve">-56.409 </w:t>
            </w:r>
          </w:p>
        </w:tc>
      </w:tr>
      <w:tr w:rsidR="005F0C04" w:rsidRPr="005F0C04" w:rsidTr="0006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5F0C04" w:rsidP="005F0C04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Comercio, rep</w:t>
            </w:r>
            <w:r w:rsidR="00061EA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5F0C04">
              <w:rPr>
                <w:rFonts w:ascii="Calibri" w:eastAsia="Times New Roman" w:hAnsi="Calibri" w:cs="Times New Roman"/>
                <w:color w:val="000000"/>
              </w:rPr>
              <w:t>e transporte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234.185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15.586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212.283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16.232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85,56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91,56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4,14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 xml:space="preserve">-21.902 </w:t>
            </w:r>
          </w:p>
        </w:tc>
      </w:tr>
      <w:tr w:rsidR="005F0C04" w:rsidRPr="005F0C04" w:rsidTr="00061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5F0C04" w:rsidP="005F0C04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Información e comunicación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24.513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21.111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21.183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21.258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115,89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119,91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0,70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 xml:space="preserve">-3.330 </w:t>
            </w:r>
          </w:p>
        </w:tc>
      </w:tr>
      <w:tr w:rsidR="005F0C04" w:rsidRPr="005F0C04" w:rsidTr="0006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5F0C04" w:rsidP="005F0C04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Ent. Financ e aseguradoras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29.705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31.938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29.011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26.776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175,32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151,03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-16,16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 xml:space="preserve">-694 </w:t>
            </w:r>
          </w:p>
        </w:tc>
      </w:tr>
      <w:tr w:rsidR="005F0C04" w:rsidRPr="005F0C04" w:rsidTr="00061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5F0C04" w:rsidP="005F0C04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Servizos a empresas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120.271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14.326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113.104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14.044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78,64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79,21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-1,97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 xml:space="preserve">-7.167 </w:t>
            </w:r>
          </w:p>
        </w:tc>
      </w:tr>
      <w:tr w:rsidR="005F0C04" w:rsidRPr="005F0C04" w:rsidTr="00061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5F0C04" w:rsidP="005F0C04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Servizos sociais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259.149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24.510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249.387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22.699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134,54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128,03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-7,39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 xml:space="preserve">-9.762 </w:t>
            </w:r>
          </w:p>
        </w:tc>
      </w:tr>
      <w:tr w:rsidR="005F0C04" w:rsidRPr="005F0C04" w:rsidTr="00061EA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5F0C04" w:rsidRPr="005F0C04" w:rsidRDefault="005F0C04" w:rsidP="00223EEE">
            <w:pPr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 xml:space="preserve">Outros serv. </w:t>
            </w:r>
            <w:r w:rsidR="00223EEE">
              <w:rPr>
                <w:rFonts w:ascii="Calibri" w:eastAsia="Times New Roman" w:hAnsi="Calibri" w:cs="Times New Roman"/>
                <w:color w:val="000000"/>
              </w:rPr>
              <w:t>s</w:t>
            </w:r>
            <w:r w:rsidRPr="005F0C04">
              <w:rPr>
                <w:rFonts w:ascii="Calibri" w:eastAsia="Times New Roman" w:hAnsi="Calibri" w:cs="Times New Roman"/>
                <w:color w:val="000000"/>
              </w:rPr>
              <w:t>ociais e de ocio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96.773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9.128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105.111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8.112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50,11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45,76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>-11,13</w:t>
            </w:r>
          </w:p>
        </w:tc>
        <w:tc>
          <w:tcPr>
            <w:tcW w:w="0" w:type="auto"/>
            <w:noWrap/>
            <w:hideMark/>
          </w:tcPr>
          <w:p w:rsidR="005F0C04" w:rsidRPr="005F0C04" w:rsidRDefault="005F0C04" w:rsidP="005F0C0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5F0C04">
              <w:rPr>
                <w:rFonts w:ascii="Calibri" w:eastAsia="Times New Roman" w:hAnsi="Calibri" w:cs="Times New Roman"/>
                <w:color w:val="000000"/>
              </w:rPr>
              <w:t xml:space="preserve">8.338 </w:t>
            </w:r>
          </w:p>
        </w:tc>
      </w:tr>
    </w:tbl>
    <w:p w:rsidR="00061EA3" w:rsidRDefault="00061EA3" w:rsidP="00061E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Fonte: </w:t>
      </w:r>
      <w:r w:rsidR="00223EEE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laboración propia a partir dos datos da </w:t>
      </w:r>
      <w:r w:rsidR="00223EEE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xencia </w:t>
      </w:r>
      <w:r w:rsidR="00223EEE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ributaria.</w:t>
      </w:r>
    </w:p>
    <w:p w:rsidR="008D4636" w:rsidRDefault="008D4636" w:rsidP="004A3084">
      <w:pPr>
        <w:rPr>
          <w:rFonts w:ascii="Arial" w:hAnsi="Arial" w:cs="Arial"/>
          <w:sz w:val="24"/>
          <w:szCs w:val="24"/>
        </w:rPr>
      </w:pPr>
    </w:p>
    <w:p w:rsidR="008D4636" w:rsidRDefault="00FE4FAA" w:rsidP="004A3084">
      <w:pPr>
        <w:rPr>
          <w:rFonts w:ascii="Arial" w:hAnsi="Arial" w:cs="Arial"/>
          <w:sz w:val="24"/>
          <w:szCs w:val="24"/>
        </w:rPr>
      </w:pPr>
      <w:r w:rsidRPr="00FE4FAA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3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D4636" w:rsidRDefault="008D4636" w:rsidP="00E97D52">
      <w:pPr>
        <w:jc w:val="both"/>
        <w:rPr>
          <w:rFonts w:ascii="Arial" w:hAnsi="Arial" w:cs="Arial"/>
          <w:sz w:val="24"/>
          <w:szCs w:val="24"/>
        </w:rPr>
      </w:pPr>
    </w:p>
    <w:p w:rsidR="000A6ABC" w:rsidRDefault="00F77736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Outro claro factor de desigualdade salarial é a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FE4FAA">
        <w:rPr>
          <w:rFonts w:ascii="Arial" w:hAnsi="Arial" w:cs="Arial"/>
          <w:sz w:val="24"/>
          <w:szCs w:val="24"/>
        </w:rPr>
        <w:t xml:space="preserve">rama de actividade onde un traballador ou traballadora realice </w:t>
      </w:r>
      <w:r>
        <w:rPr>
          <w:rFonts w:ascii="Arial" w:hAnsi="Arial" w:cs="Arial"/>
          <w:sz w:val="24"/>
          <w:szCs w:val="24"/>
        </w:rPr>
        <w:t>a actividade económica.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Traballar nunha rama ou noutra pode significar </w:t>
      </w:r>
      <w:r w:rsidR="000A6ABC">
        <w:rPr>
          <w:rFonts w:ascii="Arial" w:hAnsi="Arial" w:cs="Arial"/>
          <w:sz w:val="24"/>
          <w:szCs w:val="24"/>
        </w:rPr>
        <w:t xml:space="preserve">gañar o dobre ou </w:t>
      </w:r>
      <w:r w:rsidR="00223EEE">
        <w:rPr>
          <w:rFonts w:ascii="Arial" w:hAnsi="Arial" w:cs="Arial"/>
          <w:sz w:val="24"/>
          <w:szCs w:val="24"/>
        </w:rPr>
        <w:t xml:space="preserve">o </w:t>
      </w:r>
      <w:r w:rsidR="000A6ABC">
        <w:rPr>
          <w:rFonts w:ascii="Arial" w:hAnsi="Arial" w:cs="Arial"/>
          <w:sz w:val="24"/>
          <w:szCs w:val="24"/>
        </w:rPr>
        <w:t>triplo</w:t>
      </w:r>
      <w:r w:rsidR="00223EEE">
        <w:rPr>
          <w:rFonts w:ascii="Arial" w:hAnsi="Arial" w:cs="Arial"/>
          <w:sz w:val="24"/>
          <w:szCs w:val="24"/>
        </w:rPr>
        <w:t>.</w:t>
      </w:r>
    </w:p>
    <w:p w:rsidR="000A6ABC" w:rsidRDefault="000A6ABC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maiores ingresos salariais medios percíbenos os traballadores</w:t>
      </w:r>
      <w:r w:rsidR="00223EEE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de entidades financeiras e asegurador</w:t>
      </w:r>
      <w:r w:rsidR="00223EEE">
        <w:rPr>
          <w:rFonts w:ascii="Arial" w:hAnsi="Arial" w:cs="Arial"/>
          <w:sz w:val="24"/>
          <w:szCs w:val="24"/>
        </w:rPr>
        <w:t>as (151,03% do salario medio). M</w:t>
      </w:r>
      <w:r>
        <w:rPr>
          <w:rFonts w:ascii="Arial" w:hAnsi="Arial" w:cs="Arial"/>
          <w:sz w:val="24"/>
          <w:szCs w:val="24"/>
        </w:rPr>
        <w:t>oi preto, co 150% do salario medio,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están os traballadores</w:t>
      </w:r>
      <w:r w:rsidR="00223EEE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das industrias extractivas, enerxía e auga. A evolución do salario nestas dúas ramas foi moi desigual durante este pe</w:t>
      </w:r>
      <w:r w:rsidR="00223EEE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íodo de crise</w:t>
      </w:r>
      <w:r w:rsidR="00223EEE">
        <w:rPr>
          <w:rFonts w:ascii="Arial" w:hAnsi="Arial" w:cs="Arial"/>
          <w:sz w:val="24"/>
          <w:szCs w:val="24"/>
        </w:rPr>
        <w:t>. M</w:t>
      </w:r>
      <w:r>
        <w:rPr>
          <w:rFonts w:ascii="Arial" w:hAnsi="Arial" w:cs="Arial"/>
          <w:sz w:val="24"/>
          <w:szCs w:val="24"/>
        </w:rPr>
        <w:t>entres nas industrias extractivas aumentaron os ingresos un 10,8%, os traballadores</w:t>
      </w:r>
      <w:r w:rsidR="00223EEE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das entidades financeira vírono reducido nun 16,6%</w:t>
      </w:r>
      <w:r w:rsidR="00223EEE">
        <w:rPr>
          <w:rFonts w:ascii="Arial" w:hAnsi="Arial" w:cs="Arial"/>
          <w:sz w:val="24"/>
          <w:szCs w:val="24"/>
        </w:rPr>
        <w:t>.</w:t>
      </w:r>
    </w:p>
    <w:p w:rsidR="000A6ABC" w:rsidRDefault="000A6ABC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 trabal</w:t>
      </w:r>
      <w:r w:rsidR="00223EEE">
        <w:rPr>
          <w:rFonts w:ascii="Arial" w:hAnsi="Arial" w:cs="Arial"/>
          <w:sz w:val="24"/>
          <w:szCs w:val="24"/>
        </w:rPr>
        <w:t>la</w:t>
      </w:r>
      <w:r>
        <w:rPr>
          <w:rFonts w:ascii="Arial" w:hAnsi="Arial" w:cs="Arial"/>
          <w:sz w:val="24"/>
          <w:szCs w:val="24"/>
        </w:rPr>
        <w:t>dores/as doutros servizos socias e de ocio son os que perciben os salarios medio máis baixo, situándose no 45,76% do salario medio no ano 2014, logo dun descen</w:t>
      </w:r>
      <w:r w:rsidR="00223EE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o do 11,13% con respecto a 2009.</w:t>
      </w:r>
      <w:r w:rsidR="00223EEE">
        <w:rPr>
          <w:rFonts w:ascii="Arial" w:hAnsi="Arial" w:cs="Arial"/>
          <w:sz w:val="24"/>
          <w:szCs w:val="24"/>
        </w:rPr>
        <w:t xml:space="preserve"> E</w:t>
      </w:r>
      <w:r w:rsidR="004466E0">
        <w:rPr>
          <w:rFonts w:ascii="Arial" w:hAnsi="Arial" w:cs="Arial"/>
          <w:sz w:val="24"/>
          <w:szCs w:val="24"/>
        </w:rPr>
        <w:t xml:space="preserve">sta rama de actividade é a que acolle </w:t>
      </w:r>
      <w:r w:rsidR="00223EEE">
        <w:rPr>
          <w:rFonts w:ascii="Arial" w:hAnsi="Arial" w:cs="Arial"/>
          <w:sz w:val="24"/>
          <w:szCs w:val="24"/>
        </w:rPr>
        <w:t>o</w:t>
      </w:r>
      <w:r w:rsidR="004466E0">
        <w:rPr>
          <w:rFonts w:ascii="Arial" w:hAnsi="Arial" w:cs="Arial"/>
          <w:sz w:val="24"/>
          <w:szCs w:val="24"/>
        </w:rPr>
        <w:t xml:space="preserve"> maior número de traballadores</w:t>
      </w:r>
      <w:r w:rsidR="00223EEE">
        <w:rPr>
          <w:rFonts w:ascii="Arial" w:hAnsi="Arial" w:cs="Arial"/>
          <w:sz w:val="24"/>
          <w:szCs w:val="24"/>
        </w:rPr>
        <w:t>/as</w:t>
      </w:r>
      <w:r w:rsidR="004466E0">
        <w:rPr>
          <w:rFonts w:ascii="Arial" w:hAnsi="Arial" w:cs="Arial"/>
          <w:sz w:val="24"/>
          <w:szCs w:val="24"/>
        </w:rPr>
        <w:t>.</w:t>
      </w:r>
    </w:p>
    <w:p w:rsidR="004A3084" w:rsidRDefault="000A6ABC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 os asalariados e asalariadas do sector primario, foi onde se reduciron máis os ingresos neste período</w:t>
      </w:r>
      <w:r w:rsidR="007322AD">
        <w:rPr>
          <w:rFonts w:ascii="Arial" w:hAnsi="Arial" w:cs="Arial"/>
          <w:sz w:val="24"/>
          <w:szCs w:val="24"/>
        </w:rPr>
        <w:t>, concretamente un 34,6%. Desde os 13.807 euros medio anuais que percibiron no ano 2009 os 9.028€ de 2014. Foi na única rama de actividade onde medrou o número de asalariados</w:t>
      </w:r>
      <w:r w:rsidR="00223EEE">
        <w:rPr>
          <w:rFonts w:ascii="Arial" w:hAnsi="Arial" w:cs="Arial"/>
          <w:sz w:val="24"/>
          <w:szCs w:val="24"/>
        </w:rPr>
        <w:t>/as</w:t>
      </w:r>
      <w:r w:rsidR="007322AD">
        <w:rPr>
          <w:rFonts w:ascii="Arial" w:hAnsi="Arial" w:cs="Arial"/>
          <w:sz w:val="24"/>
          <w:szCs w:val="24"/>
        </w:rPr>
        <w:t>.</w:t>
      </w:r>
    </w:p>
    <w:p w:rsidR="007322AD" w:rsidRDefault="007322AD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maior incremento de ingresos prodúcese entre os traballadores</w:t>
      </w:r>
      <w:r w:rsidR="00223EEE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da industria.</w:t>
      </w:r>
    </w:p>
    <w:p w:rsidR="007322AD" w:rsidRDefault="007322AD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sector da construción foi o que máis activos perdeu, 56.409, no quinquenio. Os ingresos mantivéronse est</w:t>
      </w:r>
      <w:r w:rsidR="00223EEE">
        <w:rPr>
          <w:rFonts w:ascii="Arial" w:hAnsi="Arial" w:cs="Arial"/>
          <w:sz w:val="24"/>
          <w:szCs w:val="24"/>
        </w:rPr>
        <w:t>ábeis.</w:t>
      </w:r>
    </w:p>
    <w:p w:rsidR="003421F7" w:rsidRDefault="003421F7" w:rsidP="00E97D52">
      <w:pPr>
        <w:jc w:val="both"/>
        <w:rPr>
          <w:rFonts w:ascii="Arial" w:hAnsi="Arial" w:cs="Arial"/>
          <w:sz w:val="24"/>
          <w:szCs w:val="24"/>
        </w:rPr>
      </w:pPr>
    </w:p>
    <w:p w:rsidR="003421F7" w:rsidRPr="003421F7" w:rsidRDefault="003421F7" w:rsidP="00E97D52">
      <w:pPr>
        <w:jc w:val="both"/>
        <w:rPr>
          <w:rFonts w:ascii="Arial" w:hAnsi="Arial" w:cs="Arial"/>
          <w:b/>
          <w:sz w:val="28"/>
          <w:szCs w:val="28"/>
        </w:rPr>
      </w:pPr>
      <w:r w:rsidRPr="003421F7">
        <w:rPr>
          <w:rFonts w:ascii="Arial" w:hAnsi="Arial" w:cs="Arial"/>
          <w:b/>
          <w:sz w:val="28"/>
          <w:szCs w:val="28"/>
        </w:rPr>
        <w:t>Ingresos salariais medios segundo sexo.</w:t>
      </w:r>
    </w:p>
    <w:p w:rsidR="004A3084" w:rsidRDefault="004A3084" w:rsidP="00E97D52">
      <w:pPr>
        <w:jc w:val="both"/>
        <w:rPr>
          <w:rFonts w:ascii="Arial" w:hAnsi="Arial" w:cs="Arial"/>
          <w:sz w:val="24"/>
          <w:szCs w:val="24"/>
        </w:rPr>
      </w:pPr>
    </w:p>
    <w:p w:rsidR="00316FD9" w:rsidRDefault="00F5214D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 home ou muller no mercado laboral sempre supuxo ter unh</w:t>
      </w:r>
      <w:r w:rsidR="00223EEE">
        <w:rPr>
          <w:rFonts w:ascii="Arial" w:hAnsi="Arial" w:cs="Arial"/>
          <w:sz w:val="24"/>
          <w:szCs w:val="24"/>
        </w:rPr>
        <w:t>a diferenza salarial importante. A</w:t>
      </w:r>
      <w:r>
        <w:rPr>
          <w:rFonts w:ascii="Arial" w:hAnsi="Arial" w:cs="Arial"/>
          <w:sz w:val="24"/>
          <w:szCs w:val="24"/>
        </w:rPr>
        <w:t xml:space="preserve"> crise non rematou con este problema, </w:t>
      </w:r>
      <w:r w:rsidR="00223EEE">
        <w:rPr>
          <w:rFonts w:ascii="Arial" w:hAnsi="Arial" w:cs="Arial"/>
          <w:sz w:val="24"/>
          <w:szCs w:val="24"/>
        </w:rPr>
        <w:t xml:space="preserve">aínda que </w:t>
      </w:r>
      <w:r>
        <w:rPr>
          <w:rFonts w:ascii="Arial" w:hAnsi="Arial" w:cs="Arial"/>
          <w:sz w:val="24"/>
          <w:szCs w:val="24"/>
        </w:rPr>
        <w:t>si o atenuou.</w:t>
      </w:r>
    </w:p>
    <w:p w:rsidR="00F5214D" w:rsidRDefault="00F5214D" w:rsidP="00E97D52">
      <w:pPr>
        <w:jc w:val="both"/>
        <w:rPr>
          <w:rFonts w:ascii="Arial" w:hAnsi="Arial" w:cs="Arial"/>
          <w:sz w:val="24"/>
          <w:szCs w:val="24"/>
        </w:rPr>
      </w:pPr>
    </w:p>
    <w:p w:rsidR="00316FD9" w:rsidRDefault="00F5214D" w:rsidP="004A30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Salario medio segundo sexo.</w:t>
      </w:r>
    </w:p>
    <w:tbl>
      <w:tblPr>
        <w:tblStyle w:val="Sombreadoclaro-nfasis11"/>
        <w:tblW w:w="10210" w:type="dxa"/>
        <w:tblLook w:val="04A0" w:firstRow="1" w:lastRow="0" w:firstColumn="1" w:lastColumn="0" w:noHBand="0" w:noVBand="1"/>
      </w:tblPr>
      <w:tblGrid>
        <w:gridCol w:w="1810"/>
        <w:gridCol w:w="1200"/>
        <w:gridCol w:w="1200"/>
        <w:gridCol w:w="1200"/>
        <w:gridCol w:w="1200"/>
        <w:gridCol w:w="1200"/>
        <w:gridCol w:w="1200"/>
        <w:gridCol w:w="1200"/>
      </w:tblGrid>
      <w:tr w:rsidR="00316FD9" w:rsidRPr="00316FD9" w:rsidTr="00316F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316FD9" w:rsidRPr="00316FD9" w:rsidRDefault="00316FD9" w:rsidP="00316FD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2009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2010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2011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2012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2013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2014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Variación 14/09</w:t>
            </w:r>
            <w:r w:rsidR="0096365C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%</w:t>
            </w:r>
          </w:p>
        </w:tc>
      </w:tr>
      <w:tr w:rsidR="00316FD9" w:rsidRPr="00316FD9" w:rsidTr="00316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316FD9" w:rsidRPr="00316FD9" w:rsidRDefault="00316FD9" w:rsidP="00316FD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</w:t>
            </w: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alario medio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18.217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18.314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18.271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17.737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17.770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17.729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-2,7</w:t>
            </w:r>
          </w:p>
        </w:tc>
      </w:tr>
      <w:tr w:rsidR="00316FD9" w:rsidRPr="00316FD9" w:rsidTr="00316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316FD9" w:rsidRPr="00316FD9" w:rsidRDefault="00316FD9" w:rsidP="00316FD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Home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20.271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20.408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20.393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19.865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19.820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19.746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-2,6</w:t>
            </w:r>
          </w:p>
        </w:tc>
      </w:tr>
      <w:tr w:rsidR="00316FD9" w:rsidRPr="00316FD9" w:rsidTr="00316F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316FD9" w:rsidRPr="00316FD9" w:rsidRDefault="00316FD9" w:rsidP="00316FD9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Muller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15.594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15.704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15.688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15.227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15.383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15.414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-1,2</w:t>
            </w:r>
          </w:p>
        </w:tc>
      </w:tr>
      <w:tr w:rsidR="00316FD9" w:rsidRPr="00316FD9" w:rsidTr="00316FD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0" w:type="dxa"/>
            <w:noWrap/>
            <w:hideMark/>
          </w:tcPr>
          <w:p w:rsidR="00316FD9" w:rsidRPr="00316FD9" w:rsidRDefault="00316FD9" w:rsidP="0096365C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%</w:t>
            </w:r>
            <w:r w:rsidR="005E40CD">
              <w:rPr>
                <w:rFonts w:ascii="Calibri" w:eastAsia="Times New Roman" w:hAnsi="Calibri" w:cs="Times New Roman"/>
                <w:color w:val="000000"/>
                <w:lang w:val="en-US"/>
              </w:rPr>
              <w:t xml:space="preserve"> </w:t>
            </w:r>
            <w:r w:rsidR="0096365C">
              <w:rPr>
                <w:rFonts w:ascii="Calibri" w:eastAsia="Times New Roman" w:hAnsi="Calibri" w:cs="Times New Roman"/>
                <w:color w:val="000000"/>
                <w:lang w:val="en-US"/>
              </w:rPr>
              <w:t>M</w:t>
            </w: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uller/ Home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76,9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77,0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76,9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76,7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77,6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316FD9">
              <w:rPr>
                <w:rFonts w:ascii="Calibri" w:eastAsia="Times New Roman" w:hAnsi="Calibri" w:cs="Times New Roman"/>
                <w:color w:val="000000"/>
                <w:lang w:val="en-US"/>
              </w:rPr>
              <w:t>78,1</w:t>
            </w:r>
          </w:p>
        </w:tc>
        <w:tc>
          <w:tcPr>
            <w:tcW w:w="1200" w:type="dxa"/>
            <w:noWrap/>
            <w:hideMark/>
          </w:tcPr>
          <w:p w:rsidR="00316FD9" w:rsidRPr="00316FD9" w:rsidRDefault="00316FD9" w:rsidP="00316F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</w:tr>
    </w:tbl>
    <w:p w:rsidR="008F6537" w:rsidRDefault="00A84195" w:rsidP="008F65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Fonte: E</w:t>
      </w:r>
      <w:r w:rsidR="008F6537">
        <w:rPr>
          <w:rFonts w:ascii="Arial" w:hAnsi="Arial" w:cs="Arial"/>
          <w:sz w:val="24"/>
          <w:szCs w:val="24"/>
        </w:rPr>
        <w:t xml:space="preserve">laboración propia a partir dos datos da </w:t>
      </w:r>
      <w:r>
        <w:rPr>
          <w:rFonts w:ascii="Arial" w:hAnsi="Arial" w:cs="Arial"/>
          <w:sz w:val="24"/>
          <w:szCs w:val="24"/>
        </w:rPr>
        <w:t>A</w:t>
      </w:r>
      <w:r w:rsidR="008F6537">
        <w:rPr>
          <w:rFonts w:ascii="Arial" w:hAnsi="Arial" w:cs="Arial"/>
          <w:sz w:val="24"/>
          <w:szCs w:val="24"/>
        </w:rPr>
        <w:t xml:space="preserve">xencia </w:t>
      </w:r>
      <w:r>
        <w:rPr>
          <w:rFonts w:ascii="Arial" w:hAnsi="Arial" w:cs="Arial"/>
          <w:sz w:val="24"/>
          <w:szCs w:val="24"/>
        </w:rPr>
        <w:t>T</w:t>
      </w:r>
      <w:r w:rsidR="008F6537">
        <w:rPr>
          <w:rFonts w:ascii="Arial" w:hAnsi="Arial" w:cs="Arial"/>
          <w:sz w:val="24"/>
          <w:szCs w:val="24"/>
        </w:rPr>
        <w:t>ributaria.</w:t>
      </w:r>
    </w:p>
    <w:p w:rsidR="004A3084" w:rsidRDefault="004A3084" w:rsidP="004A3084">
      <w:pPr>
        <w:rPr>
          <w:rFonts w:ascii="Arial" w:hAnsi="Arial" w:cs="Arial"/>
          <w:sz w:val="24"/>
          <w:szCs w:val="24"/>
        </w:rPr>
      </w:pPr>
    </w:p>
    <w:p w:rsidR="004A3084" w:rsidRDefault="003421F7" w:rsidP="004A3084">
      <w:pPr>
        <w:rPr>
          <w:rFonts w:ascii="Arial" w:hAnsi="Arial" w:cs="Arial"/>
          <w:sz w:val="24"/>
          <w:szCs w:val="24"/>
        </w:rPr>
      </w:pPr>
      <w:r w:rsidRPr="003421F7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5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F6537" w:rsidRDefault="008F6537" w:rsidP="004A3084">
      <w:pPr>
        <w:rPr>
          <w:rFonts w:ascii="Arial" w:hAnsi="Arial" w:cs="Arial"/>
          <w:sz w:val="24"/>
          <w:szCs w:val="24"/>
        </w:rPr>
      </w:pPr>
    </w:p>
    <w:p w:rsidR="008F6537" w:rsidRDefault="008F6537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no ano 2009 o salario medio dunha muller representaba o 76,9% do dun home, en 2014 é o 78,1%. As diferenzas atenuáronse polo maior descenso dos ingresos salariais percibidos polo</w:t>
      </w:r>
      <w:r w:rsidR="00A841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homes </w:t>
      </w:r>
      <w:r w:rsidR="00A84195">
        <w:rPr>
          <w:rFonts w:ascii="Arial" w:hAnsi="Arial" w:cs="Arial"/>
          <w:sz w:val="24"/>
          <w:szCs w:val="24"/>
        </w:rPr>
        <w:t>fronte aos da</w:t>
      </w:r>
      <w:r>
        <w:rPr>
          <w:rFonts w:ascii="Arial" w:hAnsi="Arial" w:cs="Arial"/>
          <w:sz w:val="24"/>
          <w:szCs w:val="24"/>
        </w:rPr>
        <w:t>s mulleres, non porque medra</w:t>
      </w:r>
      <w:r w:rsidR="00A84195">
        <w:rPr>
          <w:rFonts w:ascii="Arial" w:hAnsi="Arial" w:cs="Arial"/>
          <w:sz w:val="24"/>
          <w:szCs w:val="24"/>
        </w:rPr>
        <w:t>se</w:t>
      </w:r>
      <w:r>
        <w:rPr>
          <w:rFonts w:ascii="Arial" w:hAnsi="Arial" w:cs="Arial"/>
          <w:sz w:val="24"/>
          <w:szCs w:val="24"/>
        </w:rPr>
        <w:t>n máis uns que outros</w:t>
      </w:r>
      <w:r w:rsidR="00A84195">
        <w:rPr>
          <w:rFonts w:ascii="Arial" w:hAnsi="Arial" w:cs="Arial"/>
          <w:sz w:val="24"/>
          <w:szCs w:val="24"/>
        </w:rPr>
        <w:t>.</w:t>
      </w:r>
    </w:p>
    <w:p w:rsidR="001166F5" w:rsidRDefault="001166F5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menor diferencial prodúcese a partir de 2011, cando os salarios das mulleres comeza</w:t>
      </w:r>
      <w:r w:rsidR="00A841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 recuperarse levemente e o</w:t>
      </w:r>
      <w:r w:rsidR="00A8419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dos homes continúa</w:t>
      </w:r>
      <w:r w:rsidR="00A84195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en descenso. </w:t>
      </w:r>
    </w:p>
    <w:p w:rsidR="004A3084" w:rsidRDefault="00A84195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Ao</w:t>
      </w:r>
      <w:r w:rsidR="001166F5">
        <w:rPr>
          <w:rFonts w:ascii="Arial" w:hAnsi="Arial" w:cs="Arial"/>
          <w:sz w:val="24"/>
          <w:szCs w:val="24"/>
        </w:rPr>
        <w:t xml:space="preserve"> ser a construción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1166F5">
        <w:rPr>
          <w:rFonts w:ascii="Arial" w:hAnsi="Arial" w:cs="Arial"/>
          <w:sz w:val="24"/>
          <w:szCs w:val="24"/>
        </w:rPr>
        <w:t>e o sector industrial os sectores máis afectados pola crise, e ser</w:t>
      </w:r>
      <w:r>
        <w:rPr>
          <w:rFonts w:ascii="Arial" w:hAnsi="Arial" w:cs="Arial"/>
          <w:sz w:val="24"/>
          <w:szCs w:val="24"/>
        </w:rPr>
        <w:t>en</w:t>
      </w:r>
      <w:r w:rsidR="001166F5">
        <w:rPr>
          <w:rFonts w:ascii="Arial" w:hAnsi="Arial" w:cs="Arial"/>
          <w:sz w:val="24"/>
          <w:szCs w:val="24"/>
        </w:rPr>
        <w:t xml:space="preserve"> estes moi masculinizados, foi onde máis emprego se perdeu e onde se aplicaron en maior medida as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1166F5">
        <w:rPr>
          <w:rFonts w:ascii="Arial" w:hAnsi="Arial" w:cs="Arial"/>
          <w:sz w:val="24"/>
          <w:szCs w:val="24"/>
        </w:rPr>
        <w:t>reducións salariais que a reforma laboral permitiu.</w:t>
      </w:r>
    </w:p>
    <w:p w:rsidR="001166F5" w:rsidRDefault="001166F5" w:rsidP="004A3084">
      <w:pPr>
        <w:rPr>
          <w:rFonts w:ascii="Arial" w:hAnsi="Arial" w:cs="Arial"/>
          <w:sz w:val="24"/>
          <w:szCs w:val="24"/>
        </w:rPr>
      </w:pPr>
    </w:p>
    <w:p w:rsidR="003D59F6" w:rsidRDefault="003D59F6" w:rsidP="004A3084">
      <w:pPr>
        <w:rPr>
          <w:rFonts w:ascii="Arial" w:hAnsi="Arial" w:cs="Arial"/>
          <w:b/>
          <w:sz w:val="28"/>
          <w:szCs w:val="28"/>
        </w:rPr>
      </w:pPr>
      <w:r w:rsidRPr="001166F5">
        <w:rPr>
          <w:rFonts w:ascii="Arial" w:hAnsi="Arial" w:cs="Arial"/>
          <w:b/>
          <w:sz w:val="28"/>
          <w:szCs w:val="28"/>
        </w:rPr>
        <w:t>Ingresos</w:t>
      </w:r>
      <w:r w:rsidR="005E40CD">
        <w:rPr>
          <w:rFonts w:ascii="Arial" w:hAnsi="Arial" w:cs="Arial"/>
          <w:b/>
          <w:sz w:val="28"/>
          <w:szCs w:val="28"/>
        </w:rPr>
        <w:t xml:space="preserve"> </w:t>
      </w:r>
      <w:r w:rsidRPr="001166F5">
        <w:rPr>
          <w:rFonts w:ascii="Arial" w:hAnsi="Arial" w:cs="Arial"/>
          <w:b/>
          <w:sz w:val="28"/>
          <w:szCs w:val="28"/>
        </w:rPr>
        <w:t>salariais por comunidade autónoma.</w:t>
      </w:r>
    </w:p>
    <w:p w:rsidR="00D50F14" w:rsidRPr="00D50F14" w:rsidRDefault="00D50F14" w:rsidP="004A3084">
      <w:pPr>
        <w:rPr>
          <w:rFonts w:ascii="Arial" w:hAnsi="Arial" w:cs="Arial"/>
          <w:sz w:val="24"/>
          <w:szCs w:val="24"/>
        </w:rPr>
      </w:pPr>
      <w:r w:rsidRPr="00D50F14">
        <w:rPr>
          <w:rFonts w:ascii="Arial" w:hAnsi="Arial" w:cs="Arial"/>
          <w:sz w:val="24"/>
          <w:szCs w:val="24"/>
        </w:rPr>
        <w:t xml:space="preserve">As diferenzas entre as </w:t>
      </w:r>
      <w:r>
        <w:rPr>
          <w:rFonts w:ascii="Arial" w:hAnsi="Arial" w:cs="Arial"/>
          <w:sz w:val="24"/>
          <w:szCs w:val="24"/>
        </w:rPr>
        <w:t>distintas comunidades son importantes.</w:t>
      </w:r>
    </w:p>
    <w:tbl>
      <w:tblPr>
        <w:tblStyle w:val="Sombreadoclaro-nfasis11"/>
        <w:tblW w:w="7297" w:type="dxa"/>
        <w:tblLook w:val="04A0" w:firstRow="1" w:lastRow="0" w:firstColumn="1" w:lastColumn="0" w:noHBand="0" w:noVBand="1"/>
      </w:tblPr>
      <w:tblGrid>
        <w:gridCol w:w="1439"/>
        <w:gridCol w:w="1216"/>
        <w:gridCol w:w="1216"/>
        <w:gridCol w:w="1216"/>
        <w:gridCol w:w="1208"/>
        <w:gridCol w:w="1208"/>
      </w:tblGrid>
      <w:tr w:rsidR="00C01616" w:rsidRPr="00C01616" w:rsidTr="00C01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noWrap/>
            <w:hideMark/>
          </w:tcPr>
          <w:p w:rsidR="00C01616" w:rsidRPr="00C01616" w:rsidRDefault="00C01616" w:rsidP="00C0161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16" w:type="dxa"/>
            <w:noWrap/>
            <w:hideMark/>
          </w:tcPr>
          <w:p w:rsidR="00C01616" w:rsidRPr="00C01616" w:rsidRDefault="00C01616" w:rsidP="00C01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16" w:type="dxa"/>
            <w:noWrap/>
            <w:hideMark/>
          </w:tcPr>
          <w:p w:rsidR="00C01616" w:rsidRPr="00C01616" w:rsidRDefault="00C01616" w:rsidP="00C01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216" w:type="dxa"/>
            <w:noWrap/>
            <w:hideMark/>
          </w:tcPr>
          <w:p w:rsidR="00C01616" w:rsidRPr="00C01616" w:rsidRDefault="00C01616" w:rsidP="00C016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V</w:t>
            </w: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ariación</w:t>
            </w:r>
          </w:p>
        </w:tc>
        <w:tc>
          <w:tcPr>
            <w:tcW w:w="2416" w:type="dxa"/>
            <w:gridSpan w:val="2"/>
            <w:noWrap/>
            <w:hideMark/>
          </w:tcPr>
          <w:p w:rsidR="00C01616" w:rsidRPr="00C01616" w:rsidRDefault="00C01616" w:rsidP="00C01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% sobre salario medio</w:t>
            </w:r>
          </w:p>
        </w:tc>
      </w:tr>
      <w:tr w:rsidR="00C01616" w:rsidRPr="00C01616" w:rsidTr="00C0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noWrap/>
            <w:hideMark/>
          </w:tcPr>
          <w:p w:rsidR="00C01616" w:rsidRPr="00C01616" w:rsidRDefault="00C01616" w:rsidP="00C01616">
            <w:pPr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S. medio</w:t>
            </w:r>
          </w:p>
        </w:tc>
        <w:tc>
          <w:tcPr>
            <w:tcW w:w="1216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2009</w:t>
            </w:r>
          </w:p>
        </w:tc>
        <w:tc>
          <w:tcPr>
            <w:tcW w:w="1216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2014</w:t>
            </w:r>
          </w:p>
        </w:tc>
        <w:tc>
          <w:tcPr>
            <w:tcW w:w="1216" w:type="dxa"/>
            <w:noWrap/>
            <w:hideMark/>
          </w:tcPr>
          <w:p w:rsidR="00C01616" w:rsidRPr="00C01616" w:rsidRDefault="00C01616" w:rsidP="00C016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2014/2009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2014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  <w:t>2009</w:t>
            </w:r>
          </w:p>
        </w:tc>
      </w:tr>
      <w:tr w:rsidR="00C01616" w:rsidRPr="00C01616" w:rsidTr="00C01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19.085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18.420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-3,5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100,0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100,0</w:t>
            </w:r>
          </w:p>
        </w:tc>
      </w:tr>
      <w:tr w:rsidR="00C01616" w:rsidRPr="00C01616" w:rsidTr="00C0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Andalucía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15.566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14.365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-7,7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81,6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78,0</w:t>
            </w:r>
          </w:p>
        </w:tc>
      </w:tr>
      <w:tr w:rsidR="00C01616" w:rsidRPr="00C01616" w:rsidTr="00C01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Aragón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19.706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18.895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-4,1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103,3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102,6</w:t>
            </w:r>
          </w:p>
        </w:tc>
      </w:tr>
      <w:tr w:rsidR="00C01616" w:rsidRPr="00C01616" w:rsidTr="00C0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Principado de Asturias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19.824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19.528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-1,5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103,9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106,0</w:t>
            </w:r>
          </w:p>
        </w:tc>
      </w:tr>
      <w:tr w:rsidR="00C01616" w:rsidRPr="00C01616" w:rsidTr="00C016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Illes Balears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18.144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17.247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-4,9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95,1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93,6</w:t>
            </w:r>
          </w:p>
        </w:tc>
      </w:tr>
      <w:tr w:rsidR="00C01616" w:rsidRPr="00C01616" w:rsidTr="00C0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Canarias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16.611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15.995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-3,7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87,0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86,8</w:t>
            </w:r>
          </w:p>
        </w:tc>
      </w:tr>
      <w:tr w:rsidR="00C01616" w:rsidRPr="00C01616" w:rsidTr="00C01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Cantabria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19.588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18.980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-3,1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102,6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103,0</w:t>
            </w:r>
          </w:p>
        </w:tc>
      </w:tr>
      <w:tr w:rsidR="00C01616" w:rsidRPr="00C01616" w:rsidTr="00C0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Castela a Mancha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16.929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16.034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-5,3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88,7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87,0</w:t>
            </w:r>
          </w:p>
        </w:tc>
      </w:tr>
      <w:tr w:rsidR="00C01616" w:rsidRPr="00C01616" w:rsidTr="00C016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Castela e</w:t>
            </w:r>
            <w:r w:rsidR="005E40CD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León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18.758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18.058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-3,7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98,3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98,0</w:t>
            </w:r>
          </w:p>
        </w:tc>
      </w:tr>
      <w:tr w:rsidR="00C01616" w:rsidRPr="00C01616" w:rsidTr="00C0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A84195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Cataluny</w:t>
            </w:r>
            <w:r w:rsidR="00C01616"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21.261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20.711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-2,6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111,4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112,4</w:t>
            </w:r>
          </w:p>
        </w:tc>
      </w:tr>
      <w:tr w:rsidR="00C01616" w:rsidRPr="00C01616" w:rsidTr="00C0161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A8419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</w:t>
            </w:r>
            <w:r w:rsidR="00A84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tremadura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14.767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13.559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-8,2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77,4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73,6</w:t>
            </w:r>
          </w:p>
        </w:tc>
      </w:tr>
      <w:tr w:rsidR="00C01616" w:rsidRPr="00C01616" w:rsidTr="00C0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A8419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Gali</w:t>
            </w:r>
            <w:r w:rsidR="00A84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z</w:t>
            </w: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18.217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17.729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-2,7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95,5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96,2</w:t>
            </w:r>
          </w:p>
        </w:tc>
      </w:tr>
      <w:tr w:rsidR="00C01616" w:rsidRPr="00C01616" w:rsidTr="00C01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Madrid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24.583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24.576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0,0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128,8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133,4</w:t>
            </w:r>
          </w:p>
        </w:tc>
      </w:tr>
      <w:tr w:rsidR="00C01616" w:rsidRPr="00C01616" w:rsidTr="00C0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Murcia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16.281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15.621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-4,1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85,3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84,8</w:t>
            </w:r>
          </w:p>
        </w:tc>
      </w:tr>
      <w:tr w:rsidR="00C01616" w:rsidRPr="00C01616" w:rsidTr="00C01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A8419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 Rio</w:t>
            </w:r>
            <w:r w:rsidR="00A84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x</w:t>
            </w: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18.820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18.354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-2,5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98,6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99,6</w:t>
            </w:r>
          </w:p>
        </w:tc>
      </w:tr>
      <w:tr w:rsidR="00C01616" w:rsidRPr="00C01616" w:rsidTr="00C0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A84195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Comunidade Valenci</w:t>
            </w:r>
            <w:r w:rsidR="00A8419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á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17.303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16.756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-3,2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90,7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91,0</w:t>
            </w:r>
          </w:p>
        </w:tc>
      </w:tr>
      <w:tr w:rsidR="00C01616" w:rsidRPr="00C01616" w:rsidTr="00C0161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Ceuta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21.775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22.397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2,9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114,1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121,6</w:t>
            </w:r>
          </w:p>
        </w:tc>
      </w:tr>
      <w:tr w:rsidR="00C01616" w:rsidRPr="00C01616" w:rsidTr="00C0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3" w:type="dxa"/>
            <w:hideMark/>
          </w:tcPr>
          <w:p w:rsidR="00C01616" w:rsidRPr="00C01616" w:rsidRDefault="00C01616" w:rsidP="00C01616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C01616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Melilla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21.379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21.388</w:t>
            </w:r>
          </w:p>
        </w:tc>
        <w:tc>
          <w:tcPr>
            <w:tcW w:w="1216" w:type="dxa"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0,0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112,0</w:t>
            </w:r>
          </w:p>
        </w:tc>
        <w:tc>
          <w:tcPr>
            <w:tcW w:w="1208" w:type="dxa"/>
            <w:noWrap/>
            <w:hideMark/>
          </w:tcPr>
          <w:p w:rsidR="00C01616" w:rsidRPr="00C01616" w:rsidRDefault="00C01616" w:rsidP="00C0161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C01616">
              <w:rPr>
                <w:rFonts w:ascii="Calibri" w:eastAsia="Times New Roman" w:hAnsi="Calibri" w:cs="Times New Roman"/>
                <w:color w:val="000000"/>
                <w:lang w:val="en-US"/>
              </w:rPr>
              <w:t>116,1</w:t>
            </w:r>
          </w:p>
        </w:tc>
      </w:tr>
    </w:tbl>
    <w:p w:rsidR="00D50F14" w:rsidRDefault="00D50F14" w:rsidP="00D50F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Fonte: </w:t>
      </w:r>
      <w:r w:rsidR="00A8419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laboración propia a partir dos datos da </w:t>
      </w:r>
      <w:r w:rsidR="00A8419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xencia </w:t>
      </w:r>
      <w:r w:rsidR="00A8419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ributaria.</w:t>
      </w:r>
    </w:p>
    <w:p w:rsidR="001C3D27" w:rsidRDefault="001C3D27" w:rsidP="00D50F14">
      <w:pPr>
        <w:rPr>
          <w:rFonts w:ascii="Arial" w:hAnsi="Arial" w:cs="Arial"/>
          <w:sz w:val="24"/>
          <w:szCs w:val="24"/>
        </w:rPr>
      </w:pPr>
    </w:p>
    <w:p w:rsidR="003D59F6" w:rsidRPr="001166F5" w:rsidRDefault="00D50F14" w:rsidP="004A3084">
      <w:pPr>
        <w:rPr>
          <w:rFonts w:ascii="Arial" w:hAnsi="Arial" w:cs="Arial"/>
          <w:b/>
          <w:sz w:val="24"/>
          <w:szCs w:val="24"/>
        </w:rPr>
      </w:pPr>
      <w:r w:rsidRPr="00D50F1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4572000" cy="3448050"/>
            <wp:effectExtent l="19050" t="0" r="19050" b="0"/>
            <wp:docPr id="6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E3B84" w:rsidRDefault="00DE3B84" w:rsidP="004A3084">
      <w:pPr>
        <w:rPr>
          <w:rFonts w:ascii="Arial" w:hAnsi="Arial" w:cs="Arial"/>
          <w:sz w:val="24"/>
          <w:szCs w:val="24"/>
        </w:rPr>
      </w:pPr>
    </w:p>
    <w:p w:rsidR="00C93629" w:rsidRDefault="00A84195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Só</w:t>
      </w:r>
      <w:r w:rsidR="001C3D27">
        <w:rPr>
          <w:rFonts w:ascii="Arial" w:hAnsi="Arial" w:cs="Arial"/>
          <w:sz w:val="24"/>
          <w:szCs w:val="24"/>
        </w:rPr>
        <w:t xml:space="preserve"> están incluídos os ingresos das comunidades que forman parten do </w:t>
      </w:r>
      <w:r>
        <w:rPr>
          <w:rFonts w:ascii="Arial" w:hAnsi="Arial" w:cs="Arial"/>
          <w:sz w:val="24"/>
          <w:szCs w:val="24"/>
        </w:rPr>
        <w:t>réxime fiscal común. F</w:t>
      </w:r>
      <w:r w:rsidR="001C3D27">
        <w:rPr>
          <w:rFonts w:ascii="Arial" w:hAnsi="Arial" w:cs="Arial"/>
          <w:sz w:val="24"/>
          <w:szCs w:val="24"/>
        </w:rPr>
        <w:t>altan, polo tanto, os datos do País Vasco e Navarra por contar</w:t>
      </w:r>
      <w:r>
        <w:rPr>
          <w:rFonts w:ascii="Arial" w:hAnsi="Arial" w:cs="Arial"/>
          <w:sz w:val="24"/>
          <w:szCs w:val="24"/>
        </w:rPr>
        <w:t>en</w:t>
      </w:r>
      <w:r w:rsidR="001C3D27">
        <w:rPr>
          <w:rFonts w:ascii="Arial" w:hAnsi="Arial" w:cs="Arial"/>
          <w:sz w:val="24"/>
          <w:szCs w:val="24"/>
        </w:rPr>
        <w:t xml:space="preserve"> con réxime fiscal especial.</w:t>
      </w:r>
    </w:p>
    <w:p w:rsidR="001C3D27" w:rsidRDefault="001C3D27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Entre as de réxime fiscal común, </w:t>
      </w:r>
      <w:r w:rsidR="00AE08DF">
        <w:rPr>
          <w:rFonts w:ascii="Arial" w:hAnsi="Arial" w:cs="Arial"/>
          <w:sz w:val="24"/>
          <w:szCs w:val="24"/>
        </w:rPr>
        <w:t>soamente</w:t>
      </w:r>
      <w:r>
        <w:rPr>
          <w:rFonts w:ascii="Arial" w:hAnsi="Arial" w:cs="Arial"/>
          <w:sz w:val="24"/>
          <w:szCs w:val="24"/>
        </w:rPr>
        <w:t xml:space="preserve"> os traballadores/as da comunidade de Madrid manteñen os salarios con respecto a 2009</w:t>
      </w:r>
      <w:r w:rsidR="00596FAF">
        <w:rPr>
          <w:rFonts w:ascii="Arial" w:hAnsi="Arial" w:cs="Arial"/>
          <w:sz w:val="24"/>
          <w:szCs w:val="24"/>
        </w:rPr>
        <w:t xml:space="preserve"> (no resto descendeu en todas)</w:t>
      </w:r>
      <w:r w:rsidR="00AE08DF">
        <w:rPr>
          <w:rFonts w:ascii="Arial" w:hAnsi="Arial" w:cs="Arial"/>
          <w:sz w:val="24"/>
          <w:szCs w:val="24"/>
        </w:rPr>
        <w:t>. A</w:t>
      </w:r>
      <w:r>
        <w:rPr>
          <w:rFonts w:ascii="Arial" w:hAnsi="Arial" w:cs="Arial"/>
          <w:sz w:val="24"/>
          <w:szCs w:val="24"/>
        </w:rPr>
        <w:t>demais, son</w:t>
      </w:r>
      <w:r w:rsidR="004F3F87">
        <w:rPr>
          <w:rFonts w:ascii="Arial" w:hAnsi="Arial" w:cs="Arial"/>
          <w:sz w:val="24"/>
          <w:szCs w:val="24"/>
        </w:rPr>
        <w:t xml:space="preserve"> </w:t>
      </w:r>
      <w:r w:rsidR="00596FAF">
        <w:rPr>
          <w:rFonts w:ascii="Arial" w:hAnsi="Arial" w:cs="Arial"/>
          <w:sz w:val="24"/>
          <w:szCs w:val="24"/>
        </w:rPr>
        <w:t>os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traballadores</w:t>
      </w:r>
      <w:r w:rsidR="00AE08DF">
        <w:rPr>
          <w:rFonts w:ascii="Arial" w:hAnsi="Arial" w:cs="Arial"/>
          <w:sz w:val="24"/>
          <w:szCs w:val="24"/>
        </w:rPr>
        <w:t>/as</w:t>
      </w:r>
      <w:r>
        <w:rPr>
          <w:rFonts w:ascii="Arial" w:hAnsi="Arial" w:cs="Arial"/>
          <w:sz w:val="24"/>
          <w:szCs w:val="24"/>
        </w:rPr>
        <w:t xml:space="preserve"> que</w:t>
      </w:r>
      <w:r w:rsidR="00AE08DF">
        <w:rPr>
          <w:rFonts w:ascii="Arial" w:hAnsi="Arial" w:cs="Arial"/>
          <w:sz w:val="24"/>
          <w:szCs w:val="24"/>
        </w:rPr>
        <w:t xml:space="preserve"> perciben uns ingresos maiores. N</w:t>
      </w:r>
      <w:r>
        <w:rPr>
          <w:rFonts w:ascii="Arial" w:hAnsi="Arial" w:cs="Arial"/>
          <w:sz w:val="24"/>
          <w:szCs w:val="24"/>
        </w:rPr>
        <w:t>o ano 2014 acadaron o 133,4% do salario medio. No</w:t>
      </w:r>
      <w:r w:rsidR="00AE08DF">
        <w:rPr>
          <w:rFonts w:ascii="Arial" w:hAnsi="Arial" w:cs="Arial"/>
          <w:sz w:val="24"/>
          <w:szCs w:val="24"/>
        </w:rPr>
        <w:t xml:space="preserve"> ano 2009 representaban o 128,8, polo que se a</w:t>
      </w:r>
      <w:r>
        <w:rPr>
          <w:rFonts w:ascii="Arial" w:hAnsi="Arial" w:cs="Arial"/>
          <w:sz w:val="24"/>
          <w:szCs w:val="24"/>
        </w:rPr>
        <w:t>mpliou</w:t>
      </w:r>
      <w:r w:rsidR="00AE08DF">
        <w:rPr>
          <w:rFonts w:ascii="Arial" w:hAnsi="Arial" w:cs="Arial"/>
          <w:sz w:val="24"/>
          <w:szCs w:val="24"/>
        </w:rPr>
        <w:t xml:space="preserve"> a fenda</w:t>
      </w:r>
      <w:r>
        <w:rPr>
          <w:rFonts w:ascii="Arial" w:hAnsi="Arial" w:cs="Arial"/>
          <w:sz w:val="24"/>
          <w:szCs w:val="24"/>
        </w:rPr>
        <w:t xml:space="preserve"> en preto de 5 puntos.</w:t>
      </w:r>
    </w:p>
    <w:p w:rsidR="00596FAF" w:rsidRDefault="001C3D27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resto das comunidades descenderon os ingresos medios, producíndose os maiores descensos nas comunidades que xa partían de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salarios inferiores</w:t>
      </w:r>
      <w:r w:rsidR="003E2843">
        <w:rPr>
          <w:rFonts w:ascii="Arial" w:hAnsi="Arial" w:cs="Arial"/>
          <w:sz w:val="24"/>
          <w:szCs w:val="24"/>
        </w:rPr>
        <w:t>. Estremadura, que partía dos ingresos máis baixos no ano 2009 (77,4% do salario medio estatal) logo dun descenso do 8,2%, sitúase no 73,6% no ano 2014.</w:t>
      </w:r>
      <w:r>
        <w:rPr>
          <w:rFonts w:ascii="Arial" w:hAnsi="Arial" w:cs="Arial"/>
          <w:sz w:val="24"/>
          <w:szCs w:val="24"/>
        </w:rPr>
        <w:t xml:space="preserve"> </w:t>
      </w:r>
      <w:r w:rsidR="0024755E">
        <w:rPr>
          <w:rFonts w:ascii="Arial" w:hAnsi="Arial" w:cs="Arial"/>
          <w:sz w:val="24"/>
          <w:szCs w:val="24"/>
        </w:rPr>
        <w:t>Andalucía</w:t>
      </w:r>
      <w:r w:rsidR="00AE08DF">
        <w:rPr>
          <w:rFonts w:ascii="Arial" w:hAnsi="Arial" w:cs="Arial"/>
          <w:sz w:val="24"/>
          <w:szCs w:val="24"/>
        </w:rPr>
        <w:t>,</w:t>
      </w:r>
      <w:r w:rsidR="0024755E">
        <w:rPr>
          <w:rFonts w:ascii="Arial" w:hAnsi="Arial" w:cs="Arial"/>
          <w:sz w:val="24"/>
          <w:szCs w:val="24"/>
        </w:rPr>
        <w:t xml:space="preserve"> cuxos ingresos medios equivalían </w:t>
      </w:r>
      <w:r w:rsidR="00AE08DF">
        <w:rPr>
          <w:rFonts w:ascii="Arial" w:hAnsi="Arial" w:cs="Arial"/>
          <w:sz w:val="24"/>
          <w:szCs w:val="24"/>
        </w:rPr>
        <w:t>ao</w:t>
      </w:r>
      <w:r w:rsidR="0024755E">
        <w:rPr>
          <w:rFonts w:ascii="Arial" w:hAnsi="Arial" w:cs="Arial"/>
          <w:sz w:val="24"/>
          <w:szCs w:val="24"/>
        </w:rPr>
        <w:t xml:space="preserve"> 81</w:t>
      </w:r>
      <w:r w:rsidR="000263EC">
        <w:rPr>
          <w:rFonts w:ascii="Arial" w:hAnsi="Arial" w:cs="Arial"/>
          <w:sz w:val="24"/>
          <w:szCs w:val="24"/>
        </w:rPr>
        <w:t>,</w:t>
      </w:r>
      <w:r w:rsidR="0024755E">
        <w:rPr>
          <w:rFonts w:ascii="Arial" w:hAnsi="Arial" w:cs="Arial"/>
          <w:sz w:val="24"/>
          <w:szCs w:val="24"/>
        </w:rPr>
        <w:t>6% da media, logo dun descenso do 7,7% neste quinquenio</w:t>
      </w:r>
      <w:r w:rsidR="003E2843">
        <w:rPr>
          <w:rFonts w:ascii="Arial" w:hAnsi="Arial" w:cs="Arial"/>
          <w:sz w:val="24"/>
          <w:szCs w:val="24"/>
        </w:rPr>
        <w:t>,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24755E">
        <w:rPr>
          <w:rFonts w:ascii="Arial" w:hAnsi="Arial" w:cs="Arial"/>
          <w:sz w:val="24"/>
          <w:szCs w:val="24"/>
        </w:rPr>
        <w:t>sitúase no 78% da media en 2014.</w:t>
      </w:r>
      <w:r w:rsidR="005E40CD">
        <w:rPr>
          <w:rFonts w:ascii="Arial" w:hAnsi="Arial" w:cs="Arial"/>
          <w:sz w:val="24"/>
          <w:szCs w:val="24"/>
        </w:rPr>
        <w:t xml:space="preserve"> </w:t>
      </w:r>
    </w:p>
    <w:p w:rsidR="001C3D27" w:rsidRDefault="00AE08DF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</w:t>
      </w:r>
      <w:r w:rsidR="00596FAF">
        <w:rPr>
          <w:rFonts w:ascii="Arial" w:hAnsi="Arial" w:cs="Arial"/>
          <w:sz w:val="24"/>
          <w:szCs w:val="24"/>
        </w:rPr>
        <w:t>s comunidades que partían de ingresos superiores á media no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596FAF">
        <w:rPr>
          <w:rFonts w:ascii="Arial" w:hAnsi="Arial" w:cs="Arial"/>
          <w:sz w:val="24"/>
          <w:szCs w:val="24"/>
        </w:rPr>
        <w:t xml:space="preserve">2009, o descenso foi inferior </w:t>
      </w:r>
      <w:r>
        <w:rPr>
          <w:rFonts w:ascii="Arial" w:hAnsi="Arial" w:cs="Arial"/>
          <w:sz w:val="24"/>
          <w:szCs w:val="24"/>
        </w:rPr>
        <w:t>ao</w:t>
      </w:r>
      <w:r w:rsidR="00596FAF">
        <w:rPr>
          <w:rFonts w:ascii="Arial" w:hAnsi="Arial" w:cs="Arial"/>
          <w:sz w:val="24"/>
          <w:szCs w:val="24"/>
        </w:rPr>
        <w:t xml:space="preserve"> descenso medio, e polo tanto melloraron a súa posición con respecto á medi</w:t>
      </w:r>
      <w:r>
        <w:rPr>
          <w:rFonts w:ascii="Arial" w:hAnsi="Arial" w:cs="Arial"/>
          <w:sz w:val="24"/>
          <w:szCs w:val="24"/>
        </w:rPr>
        <w:t>a</w:t>
      </w:r>
      <w:r w:rsidR="00596FAF">
        <w:rPr>
          <w:rFonts w:ascii="Arial" w:hAnsi="Arial" w:cs="Arial"/>
          <w:sz w:val="24"/>
          <w:szCs w:val="24"/>
        </w:rPr>
        <w:t xml:space="preserve">, caso de Aragón, Asturias, Cantabria, </w:t>
      </w:r>
      <w:r w:rsidR="00963E5D">
        <w:rPr>
          <w:rFonts w:ascii="Arial" w:hAnsi="Arial" w:cs="Arial"/>
          <w:sz w:val="24"/>
          <w:szCs w:val="24"/>
        </w:rPr>
        <w:t>C</w:t>
      </w:r>
      <w:r w:rsidR="00596FAF">
        <w:rPr>
          <w:rFonts w:ascii="Arial" w:hAnsi="Arial" w:cs="Arial"/>
          <w:sz w:val="24"/>
          <w:szCs w:val="24"/>
        </w:rPr>
        <w:t>atalu</w:t>
      </w:r>
      <w:r>
        <w:rPr>
          <w:rFonts w:ascii="Arial" w:hAnsi="Arial" w:cs="Arial"/>
          <w:sz w:val="24"/>
          <w:szCs w:val="24"/>
        </w:rPr>
        <w:t>ny</w:t>
      </w:r>
      <w:r w:rsidR="00596FAF">
        <w:rPr>
          <w:rFonts w:ascii="Arial" w:hAnsi="Arial" w:cs="Arial"/>
          <w:sz w:val="24"/>
          <w:szCs w:val="24"/>
        </w:rPr>
        <w:t>a…</w:t>
      </w:r>
    </w:p>
    <w:p w:rsidR="004F3F87" w:rsidRDefault="004F3F87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Gali</w:t>
      </w:r>
      <w:r w:rsidR="00AE08D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a, </w:t>
      </w:r>
      <w:r w:rsidR="00AE08DF">
        <w:rPr>
          <w:rFonts w:ascii="Arial" w:hAnsi="Arial" w:cs="Arial"/>
          <w:sz w:val="24"/>
          <w:szCs w:val="24"/>
        </w:rPr>
        <w:t>despois</w:t>
      </w:r>
      <w:r>
        <w:rPr>
          <w:rFonts w:ascii="Arial" w:hAnsi="Arial" w:cs="Arial"/>
          <w:sz w:val="24"/>
          <w:szCs w:val="24"/>
        </w:rPr>
        <w:t xml:space="preserve"> dun descenso medio do 2,6%, por b</w:t>
      </w:r>
      <w:r w:rsidR="00AE08D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ixo da media, os salarios medios pasaron de representar o 95,5% da media estatal </w:t>
      </w:r>
      <w:r w:rsidR="00AE08DF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96,2%.</w:t>
      </w:r>
    </w:p>
    <w:p w:rsidR="004F3F87" w:rsidRDefault="004F3F87" w:rsidP="00E97D52">
      <w:pPr>
        <w:jc w:val="both"/>
        <w:rPr>
          <w:rFonts w:ascii="Arial" w:hAnsi="Arial" w:cs="Arial"/>
          <w:sz w:val="24"/>
          <w:szCs w:val="24"/>
        </w:rPr>
      </w:pPr>
    </w:p>
    <w:p w:rsidR="004F3F87" w:rsidRDefault="004F3F87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resumo,</w:t>
      </w:r>
      <w:r w:rsidR="005E40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logo dun quinquenio de forte crise económica</w:t>
      </w:r>
      <w:r w:rsidR="00AE08D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os efectos sobre a clase traballadora van máis alá do que </w:t>
      </w:r>
      <w:r w:rsidR="00AE08DF">
        <w:rPr>
          <w:rFonts w:ascii="Arial" w:hAnsi="Arial" w:cs="Arial"/>
          <w:sz w:val="24"/>
          <w:szCs w:val="24"/>
        </w:rPr>
        <w:t xml:space="preserve">ten a ver coa </w:t>
      </w:r>
      <w:r>
        <w:rPr>
          <w:rFonts w:ascii="Arial" w:hAnsi="Arial" w:cs="Arial"/>
          <w:sz w:val="24"/>
          <w:szCs w:val="24"/>
        </w:rPr>
        <w:t>perda de emprego.</w:t>
      </w:r>
    </w:p>
    <w:p w:rsidR="004F3F87" w:rsidRDefault="00AE08DF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Así, n</w:t>
      </w:r>
      <w:r w:rsidR="004F3F87">
        <w:rPr>
          <w:rFonts w:ascii="Arial" w:hAnsi="Arial" w:cs="Arial"/>
          <w:sz w:val="24"/>
          <w:szCs w:val="24"/>
        </w:rPr>
        <w:t>on s</w:t>
      </w:r>
      <w:r>
        <w:rPr>
          <w:rFonts w:ascii="Arial" w:hAnsi="Arial" w:cs="Arial"/>
          <w:sz w:val="24"/>
          <w:szCs w:val="24"/>
        </w:rPr>
        <w:t>ó</w:t>
      </w:r>
      <w:r w:rsidR="004F3F87">
        <w:rPr>
          <w:rFonts w:ascii="Arial" w:hAnsi="Arial" w:cs="Arial"/>
          <w:sz w:val="24"/>
          <w:szCs w:val="24"/>
        </w:rPr>
        <w:t xml:space="preserve"> se destruíu fortemente emprego, senón que se reduciron os ingresos e aumentaron as desigualdades entre a clase traballadora.</w:t>
      </w:r>
    </w:p>
    <w:p w:rsidR="004F3F87" w:rsidRDefault="004F3F87" w:rsidP="00E97D5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Aumentaron as desigualdades</w:t>
      </w:r>
      <w:r w:rsidR="00AE08DF">
        <w:rPr>
          <w:rFonts w:ascii="Arial" w:hAnsi="Arial" w:cs="Arial"/>
          <w:sz w:val="24"/>
          <w:szCs w:val="24"/>
        </w:rPr>
        <w:t xml:space="preserve"> entre as comunidades autónomas. N</w:t>
      </w:r>
      <w:r w:rsidR="00887D2E">
        <w:rPr>
          <w:rFonts w:ascii="Arial" w:hAnsi="Arial" w:cs="Arial"/>
          <w:sz w:val="24"/>
          <w:szCs w:val="24"/>
        </w:rPr>
        <w:t xml:space="preserve">as máis ricas descenderon menos </w:t>
      </w:r>
      <w:r w:rsidR="00AE08DF">
        <w:rPr>
          <w:rFonts w:ascii="Arial" w:hAnsi="Arial" w:cs="Arial"/>
          <w:sz w:val="24"/>
          <w:szCs w:val="24"/>
        </w:rPr>
        <w:t>os ingresos que nas máis pobres. O</w:t>
      </w:r>
      <w:r w:rsidR="00887D2E">
        <w:rPr>
          <w:rFonts w:ascii="Arial" w:hAnsi="Arial" w:cs="Arial"/>
          <w:sz w:val="24"/>
          <w:szCs w:val="24"/>
        </w:rPr>
        <w:t xml:space="preserve"> único emprego que se creou foi entre os asalariados</w:t>
      </w:r>
      <w:r w:rsidR="00AE08DF">
        <w:rPr>
          <w:rFonts w:ascii="Arial" w:hAnsi="Arial" w:cs="Arial"/>
          <w:sz w:val="24"/>
          <w:szCs w:val="24"/>
        </w:rPr>
        <w:t>/as</w:t>
      </w:r>
      <w:r w:rsidR="00887D2E">
        <w:rPr>
          <w:rFonts w:ascii="Arial" w:hAnsi="Arial" w:cs="Arial"/>
          <w:sz w:val="24"/>
          <w:szCs w:val="24"/>
        </w:rPr>
        <w:t xml:space="preserve"> con ingresos inferiores </w:t>
      </w:r>
      <w:r w:rsidR="00AE08DF">
        <w:rPr>
          <w:rFonts w:ascii="Arial" w:hAnsi="Arial" w:cs="Arial"/>
          <w:sz w:val="24"/>
          <w:szCs w:val="24"/>
        </w:rPr>
        <w:t>ao</w:t>
      </w:r>
      <w:r w:rsidR="00887D2E">
        <w:rPr>
          <w:rFonts w:ascii="Arial" w:hAnsi="Arial" w:cs="Arial"/>
          <w:sz w:val="24"/>
          <w:szCs w:val="24"/>
        </w:rPr>
        <w:t xml:space="preserve"> SMI, e o salario d</w:t>
      </w:r>
      <w:r w:rsidR="00AE08DF">
        <w:rPr>
          <w:rFonts w:ascii="Arial" w:hAnsi="Arial" w:cs="Arial"/>
          <w:sz w:val="24"/>
          <w:szCs w:val="24"/>
        </w:rPr>
        <w:t>este</w:t>
      </w:r>
      <w:r w:rsidR="00887D2E">
        <w:rPr>
          <w:rFonts w:ascii="Arial" w:hAnsi="Arial" w:cs="Arial"/>
          <w:sz w:val="24"/>
          <w:szCs w:val="24"/>
        </w:rPr>
        <w:t>s descendeu</w:t>
      </w:r>
      <w:r w:rsidR="00AE08DF">
        <w:rPr>
          <w:rFonts w:ascii="Arial" w:hAnsi="Arial" w:cs="Arial"/>
          <w:sz w:val="24"/>
          <w:szCs w:val="24"/>
        </w:rPr>
        <w:t>. P</w:t>
      </w:r>
      <w:r w:rsidR="00887D2E">
        <w:rPr>
          <w:rFonts w:ascii="Arial" w:hAnsi="Arial" w:cs="Arial"/>
          <w:sz w:val="24"/>
          <w:szCs w:val="24"/>
        </w:rPr>
        <w:t xml:space="preserve">or idade, os descensos maiores déronse entre </w:t>
      </w:r>
      <w:r w:rsidR="00AE08DF">
        <w:rPr>
          <w:rFonts w:ascii="Arial" w:hAnsi="Arial" w:cs="Arial"/>
          <w:sz w:val="24"/>
          <w:szCs w:val="24"/>
        </w:rPr>
        <w:t>a xente máis nova</w:t>
      </w:r>
      <w:r w:rsidR="00887D2E">
        <w:rPr>
          <w:rFonts w:ascii="Arial" w:hAnsi="Arial" w:cs="Arial"/>
          <w:sz w:val="24"/>
          <w:szCs w:val="24"/>
        </w:rPr>
        <w:t>, que xa partía duns ingresos inferiores</w:t>
      </w:r>
      <w:r w:rsidR="00AE08DF">
        <w:rPr>
          <w:rFonts w:ascii="Arial" w:hAnsi="Arial" w:cs="Arial"/>
          <w:sz w:val="24"/>
          <w:szCs w:val="24"/>
        </w:rPr>
        <w:t xml:space="preserve">. E </w:t>
      </w:r>
      <w:r w:rsidR="00887D2E">
        <w:rPr>
          <w:rFonts w:ascii="Arial" w:hAnsi="Arial" w:cs="Arial"/>
          <w:sz w:val="24"/>
          <w:szCs w:val="24"/>
        </w:rPr>
        <w:t>se a análise se fai por rama de actividade,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887D2E">
        <w:rPr>
          <w:rFonts w:ascii="Arial" w:hAnsi="Arial" w:cs="Arial"/>
          <w:sz w:val="24"/>
          <w:szCs w:val="24"/>
        </w:rPr>
        <w:t>medra o emprego no sector primario e noutros servizos sociais e de ocio, xusto as dúas ramas que parten duns ingresos inferiores, que por certo, descenden aínda máis no período…</w:t>
      </w:r>
    </w:p>
    <w:p w:rsidR="000263EC" w:rsidRDefault="00887D2E" w:rsidP="00B91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Perda de postos de traballo e precarización dos existentes</w:t>
      </w:r>
      <w:r w:rsidR="00F22715">
        <w:rPr>
          <w:rFonts w:ascii="Arial" w:hAnsi="Arial" w:cs="Arial"/>
          <w:sz w:val="24"/>
          <w:szCs w:val="24"/>
        </w:rPr>
        <w:t xml:space="preserve"> </w:t>
      </w:r>
      <w:r w:rsidR="00AE08DF">
        <w:rPr>
          <w:rFonts w:ascii="Arial" w:hAnsi="Arial" w:cs="Arial"/>
          <w:sz w:val="24"/>
          <w:szCs w:val="24"/>
        </w:rPr>
        <w:t>é</w:t>
      </w:r>
      <w:r w:rsidR="00F22715">
        <w:rPr>
          <w:rFonts w:ascii="Arial" w:hAnsi="Arial" w:cs="Arial"/>
          <w:sz w:val="24"/>
          <w:szCs w:val="24"/>
        </w:rPr>
        <w:t xml:space="preserve"> o resultado desta crise e sobre todo da </w:t>
      </w:r>
      <w:r w:rsidR="00AE08DF">
        <w:rPr>
          <w:rFonts w:ascii="Arial" w:hAnsi="Arial" w:cs="Arial"/>
          <w:sz w:val="24"/>
          <w:szCs w:val="24"/>
        </w:rPr>
        <w:t xml:space="preserve">súa </w:t>
      </w:r>
      <w:r w:rsidR="00F22715">
        <w:rPr>
          <w:rFonts w:ascii="Arial" w:hAnsi="Arial" w:cs="Arial"/>
          <w:sz w:val="24"/>
          <w:szCs w:val="24"/>
        </w:rPr>
        <w:t>xestión</w:t>
      </w:r>
      <w:r w:rsidR="00AE08DF">
        <w:rPr>
          <w:rFonts w:ascii="Arial" w:hAnsi="Arial" w:cs="Arial"/>
          <w:sz w:val="24"/>
          <w:szCs w:val="24"/>
        </w:rPr>
        <w:t xml:space="preserve"> por parte dos gobernos</w:t>
      </w:r>
      <w:r w:rsidR="00F22715">
        <w:rPr>
          <w:rFonts w:ascii="Arial" w:hAnsi="Arial" w:cs="Arial"/>
          <w:sz w:val="24"/>
          <w:szCs w:val="24"/>
        </w:rPr>
        <w:t>, xa que as</w:t>
      </w:r>
      <w:r w:rsidR="005E40CD">
        <w:rPr>
          <w:rFonts w:ascii="Arial" w:hAnsi="Arial" w:cs="Arial"/>
          <w:sz w:val="24"/>
          <w:szCs w:val="24"/>
        </w:rPr>
        <w:t xml:space="preserve"> </w:t>
      </w:r>
      <w:r w:rsidR="00F22715">
        <w:rPr>
          <w:rFonts w:ascii="Arial" w:hAnsi="Arial" w:cs="Arial"/>
          <w:sz w:val="24"/>
          <w:szCs w:val="24"/>
        </w:rPr>
        <w:t>reformas laborais implementadas neste período non fixeron máis que agravar as consecuencias da crise vía redución dos ingresos dos traballadores</w:t>
      </w:r>
      <w:r w:rsidR="00AE08DF">
        <w:rPr>
          <w:rFonts w:ascii="Arial" w:hAnsi="Arial" w:cs="Arial"/>
          <w:sz w:val="24"/>
          <w:szCs w:val="24"/>
        </w:rPr>
        <w:t>/as</w:t>
      </w:r>
      <w:r w:rsidR="00F22715">
        <w:rPr>
          <w:rFonts w:ascii="Arial" w:hAnsi="Arial" w:cs="Arial"/>
          <w:sz w:val="24"/>
          <w:szCs w:val="24"/>
        </w:rPr>
        <w:t xml:space="preserve"> que non perderon o posto de traballo.</w:t>
      </w:r>
    </w:p>
    <w:p w:rsidR="00596FAF" w:rsidRDefault="00F22715" w:rsidP="00B91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 aquí non están todos</w:t>
      </w:r>
      <w:r w:rsidR="00B91AD9">
        <w:rPr>
          <w:rFonts w:ascii="Arial" w:hAnsi="Arial" w:cs="Arial"/>
          <w:sz w:val="24"/>
          <w:szCs w:val="24"/>
        </w:rPr>
        <w:t xml:space="preserve"> nin todas. F</w:t>
      </w:r>
      <w:r>
        <w:rPr>
          <w:rFonts w:ascii="Arial" w:hAnsi="Arial" w:cs="Arial"/>
          <w:sz w:val="24"/>
          <w:szCs w:val="24"/>
        </w:rPr>
        <w:t>altan os miles de mozos e mozas que ante esta situación optaron pola emigración, senón os datos serían aínda máis alarmantes.</w:t>
      </w:r>
    </w:p>
    <w:p w:rsidR="00F22715" w:rsidRDefault="00F22715" w:rsidP="00B91A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Emigración, paro, redución de salarios, redución do estado do benestar</w:t>
      </w:r>
      <w:r w:rsidR="00B91AD9">
        <w:rPr>
          <w:rFonts w:ascii="Arial" w:hAnsi="Arial" w:cs="Arial"/>
          <w:sz w:val="24"/>
          <w:szCs w:val="24"/>
        </w:rPr>
        <w:t xml:space="preserve">, etc., </w:t>
      </w:r>
      <w:r>
        <w:rPr>
          <w:rFonts w:ascii="Arial" w:hAnsi="Arial" w:cs="Arial"/>
          <w:sz w:val="24"/>
          <w:szCs w:val="24"/>
        </w:rPr>
        <w:t xml:space="preserve">é o </w:t>
      </w:r>
      <w:r w:rsidR="00B91AD9">
        <w:rPr>
          <w:rFonts w:ascii="Arial" w:hAnsi="Arial" w:cs="Arial"/>
          <w:sz w:val="24"/>
          <w:szCs w:val="24"/>
        </w:rPr>
        <w:t xml:space="preserve">triste </w:t>
      </w:r>
      <w:r>
        <w:rPr>
          <w:rFonts w:ascii="Arial" w:hAnsi="Arial" w:cs="Arial"/>
          <w:sz w:val="24"/>
          <w:szCs w:val="24"/>
        </w:rPr>
        <w:t xml:space="preserve">legado que nos deixa Feijoo </w:t>
      </w:r>
      <w:r w:rsidR="00B91AD9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a súa estadía en San Caetano.</w:t>
      </w:r>
    </w:p>
    <w:p w:rsidR="00F22715" w:rsidRDefault="00F22715" w:rsidP="00526CAF">
      <w:pPr>
        <w:rPr>
          <w:rFonts w:ascii="Arial" w:hAnsi="Arial" w:cs="Arial"/>
          <w:sz w:val="24"/>
          <w:szCs w:val="24"/>
        </w:rPr>
      </w:pPr>
    </w:p>
    <w:p w:rsidR="00E0560B" w:rsidRDefault="00E0560B" w:rsidP="00526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Vigo, 9 de decembro de 2015</w:t>
      </w:r>
    </w:p>
    <w:p w:rsidR="00E0560B" w:rsidRDefault="00E0560B" w:rsidP="00526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Natividad López Gromaz.</w:t>
      </w:r>
    </w:p>
    <w:p w:rsidR="001C3D27" w:rsidRDefault="001C3D27" w:rsidP="00526CAF">
      <w:pPr>
        <w:rPr>
          <w:rFonts w:ascii="Arial" w:hAnsi="Arial" w:cs="Arial"/>
          <w:sz w:val="24"/>
          <w:szCs w:val="24"/>
        </w:rPr>
      </w:pPr>
    </w:p>
    <w:p w:rsidR="00A13D5C" w:rsidRDefault="00A13D5C" w:rsidP="00526CAF">
      <w:pPr>
        <w:rPr>
          <w:rFonts w:ascii="Arial" w:hAnsi="Arial" w:cs="Arial"/>
          <w:sz w:val="24"/>
          <w:szCs w:val="24"/>
        </w:rPr>
      </w:pPr>
    </w:p>
    <w:p w:rsidR="00A13D5C" w:rsidRDefault="00A13D5C" w:rsidP="00526CAF">
      <w:pPr>
        <w:rPr>
          <w:rFonts w:ascii="Arial" w:hAnsi="Arial" w:cs="Arial"/>
          <w:sz w:val="24"/>
          <w:szCs w:val="24"/>
        </w:rPr>
      </w:pPr>
    </w:p>
    <w:p w:rsidR="00526CAF" w:rsidRPr="0064373A" w:rsidRDefault="00526CAF">
      <w:pPr>
        <w:rPr>
          <w:rFonts w:ascii="Arial" w:hAnsi="Arial" w:cs="Arial"/>
          <w:sz w:val="24"/>
          <w:szCs w:val="24"/>
        </w:rPr>
      </w:pPr>
    </w:p>
    <w:sectPr w:rsidR="00526CAF" w:rsidRPr="0064373A" w:rsidSect="00DC4C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364F"/>
    <w:multiLevelType w:val="hybridMultilevel"/>
    <w:tmpl w:val="4A90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3A"/>
    <w:rsid w:val="000263EC"/>
    <w:rsid w:val="00030B92"/>
    <w:rsid w:val="00042EA8"/>
    <w:rsid w:val="00061EA3"/>
    <w:rsid w:val="0007042A"/>
    <w:rsid w:val="00080A88"/>
    <w:rsid w:val="000A6ABC"/>
    <w:rsid w:val="001166F5"/>
    <w:rsid w:val="00160549"/>
    <w:rsid w:val="00173337"/>
    <w:rsid w:val="001A3670"/>
    <w:rsid w:val="001A3DD0"/>
    <w:rsid w:val="001A6B0B"/>
    <w:rsid w:val="001C3D27"/>
    <w:rsid w:val="001E30F8"/>
    <w:rsid w:val="001F76F4"/>
    <w:rsid w:val="00223619"/>
    <w:rsid w:val="00223EEE"/>
    <w:rsid w:val="0024755E"/>
    <w:rsid w:val="002B4863"/>
    <w:rsid w:val="00316FD9"/>
    <w:rsid w:val="003421F7"/>
    <w:rsid w:val="003A30B9"/>
    <w:rsid w:val="003A3AA2"/>
    <w:rsid w:val="003C2A15"/>
    <w:rsid w:val="003D59F6"/>
    <w:rsid w:val="003E2843"/>
    <w:rsid w:val="00441D81"/>
    <w:rsid w:val="004466E0"/>
    <w:rsid w:val="00482B8E"/>
    <w:rsid w:val="004A3084"/>
    <w:rsid w:val="004D72A1"/>
    <w:rsid w:val="004F3F87"/>
    <w:rsid w:val="00514463"/>
    <w:rsid w:val="005267A1"/>
    <w:rsid w:val="00526CAF"/>
    <w:rsid w:val="00545041"/>
    <w:rsid w:val="00560B48"/>
    <w:rsid w:val="005838C2"/>
    <w:rsid w:val="00592597"/>
    <w:rsid w:val="00595735"/>
    <w:rsid w:val="00596FAF"/>
    <w:rsid w:val="005D0932"/>
    <w:rsid w:val="005E40CD"/>
    <w:rsid w:val="005F0C04"/>
    <w:rsid w:val="005F692E"/>
    <w:rsid w:val="006346E3"/>
    <w:rsid w:val="0064373A"/>
    <w:rsid w:val="006A5F0F"/>
    <w:rsid w:val="006B7D1A"/>
    <w:rsid w:val="007322AD"/>
    <w:rsid w:val="007327AB"/>
    <w:rsid w:val="007757DE"/>
    <w:rsid w:val="00785A6B"/>
    <w:rsid w:val="0079270B"/>
    <w:rsid w:val="007D4981"/>
    <w:rsid w:val="007D676E"/>
    <w:rsid w:val="00837CB1"/>
    <w:rsid w:val="00841660"/>
    <w:rsid w:val="00873EB1"/>
    <w:rsid w:val="00880862"/>
    <w:rsid w:val="00887D2E"/>
    <w:rsid w:val="00890CB4"/>
    <w:rsid w:val="008D13CD"/>
    <w:rsid w:val="008D4636"/>
    <w:rsid w:val="008F6537"/>
    <w:rsid w:val="0096365C"/>
    <w:rsid w:val="00963E5D"/>
    <w:rsid w:val="009763C4"/>
    <w:rsid w:val="009A370F"/>
    <w:rsid w:val="009B112B"/>
    <w:rsid w:val="009C770B"/>
    <w:rsid w:val="009E126A"/>
    <w:rsid w:val="00A13D5C"/>
    <w:rsid w:val="00A34D5D"/>
    <w:rsid w:val="00A70E42"/>
    <w:rsid w:val="00A84195"/>
    <w:rsid w:val="00A900B5"/>
    <w:rsid w:val="00AA042B"/>
    <w:rsid w:val="00AA7C60"/>
    <w:rsid w:val="00AE08DF"/>
    <w:rsid w:val="00B33E73"/>
    <w:rsid w:val="00B4279F"/>
    <w:rsid w:val="00B57F3C"/>
    <w:rsid w:val="00B90965"/>
    <w:rsid w:val="00B91AD9"/>
    <w:rsid w:val="00BB6C97"/>
    <w:rsid w:val="00BE5F80"/>
    <w:rsid w:val="00C01616"/>
    <w:rsid w:val="00C017C2"/>
    <w:rsid w:val="00C27A89"/>
    <w:rsid w:val="00C562EF"/>
    <w:rsid w:val="00C56556"/>
    <w:rsid w:val="00C8572F"/>
    <w:rsid w:val="00C93629"/>
    <w:rsid w:val="00C93A6D"/>
    <w:rsid w:val="00CB0A1C"/>
    <w:rsid w:val="00CC6594"/>
    <w:rsid w:val="00D24F94"/>
    <w:rsid w:val="00D3780D"/>
    <w:rsid w:val="00D4298D"/>
    <w:rsid w:val="00D469C4"/>
    <w:rsid w:val="00D50F14"/>
    <w:rsid w:val="00D63FF6"/>
    <w:rsid w:val="00D879C0"/>
    <w:rsid w:val="00D87BCE"/>
    <w:rsid w:val="00DC4C65"/>
    <w:rsid w:val="00DE3B84"/>
    <w:rsid w:val="00DF7B16"/>
    <w:rsid w:val="00E0560B"/>
    <w:rsid w:val="00E459C3"/>
    <w:rsid w:val="00E53C8C"/>
    <w:rsid w:val="00E82556"/>
    <w:rsid w:val="00E85F82"/>
    <w:rsid w:val="00E93477"/>
    <w:rsid w:val="00E97D52"/>
    <w:rsid w:val="00EB3DA8"/>
    <w:rsid w:val="00ED1716"/>
    <w:rsid w:val="00F0388B"/>
    <w:rsid w:val="00F038B4"/>
    <w:rsid w:val="00F05927"/>
    <w:rsid w:val="00F22715"/>
    <w:rsid w:val="00F5214D"/>
    <w:rsid w:val="00F77736"/>
    <w:rsid w:val="00F84152"/>
    <w:rsid w:val="00FC49F8"/>
    <w:rsid w:val="00FD79E9"/>
    <w:rsid w:val="00FE4A7E"/>
    <w:rsid w:val="00FE4FAA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-nfasis11">
    <w:name w:val="Sombreado claro - Énfasis 11"/>
    <w:basedOn w:val="Tablanormal"/>
    <w:uiPriority w:val="60"/>
    <w:rsid w:val="00F038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73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B112B"/>
    <w:rPr>
      <w:i/>
      <w:iCs/>
    </w:rPr>
  </w:style>
  <w:style w:type="paragraph" w:styleId="Prrafodelista">
    <w:name w:val="List Paragraph"/>
    <w:basedOn w:val="Normal"/>
    <w:uiPriority w:val="34"/>
    <w:qFormat/>
    <w:rsid w:val="00C93629"/>
    <w:pPr>
      <w:ind w:left="720"/>
      <w:contextualSpacing/>
    </w:pPr>
  </w:style>
  <w:style w:type="table" w:customStyle="1" w:styleId="Sombreadoclaro1">
    <w:name w:val="Sombreado claro1"/>
    <w:basedOn w:val="Tablanormal"/>
    <w:uiPriority w:val="60"/>
    <w:rsid w:val="004D72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Sombreadoclaro-nfasis11">
    <w:name w:val="Sombreado claro - Énfasis 11"/>
    <w:basedOn w:val="Tablanormal"/>
    <w:uiPriority w:val="60"/>
    <w:rsid w:val="00F038B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9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73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9B112B"/>
    <w:rPr>
      <w:i/>
      <w:iCs/>
    </w:rPr>
  </w:style>
  <w:style w:type="paragraph" w:styleId="Prrafodelista">
    <w:name w:val="List Paragraph"/>
    <w:basedOn w:val="Normal"/>
    <w:uiPriority w:val="34"/>
    <w:qFormat/>
    <w:rsid w:val="00C93629"/>
    <w:pPr>
      <w:ind w:left="720"/>
      <w:contextualSpacing/>
    </w:pPr>
  </w:style>
  <w:style w:type="table" w:customStyle="1" w:styleId="Sombreadoclaro1">
    <w:name w:val="Sombreado claro1"/>
    <w:basedOn w:val="Tablanormal"/>
    <w:uiPriority w:val="60"/>
    <w:rsid w:val="004D72A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4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microsoft.com/office/2007/relationships/stylesWithEffects" Target="stylesWithEffect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Econom&#237;a\Axencia%20tributaria\2014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Econom&#237;a\Axencia%20tributaria\2014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Econom&#237;a\Axencia%20tributaria\2014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Econom&#237;a\Axencia%20tributaria\2014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Econom&#237;a\Axencia%20tributaria\2014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_Traballo\DOC\Econom&#237;a\Axencia%20tributaria\2014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ES"/>
            </a:pPr>
            <a:r>
              <a:rPr lang="en-US"/>
              <a:t> Ingreso salarial medio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Hoja3!$I$24</c:f>
              <c:strCache>
                <c:ptCount val="1"/>
                <c:pt idx="0">
                  <c:v>salario medio</c:v>
                </c:pt>
              </c:strCache>
            </c:strRef>
          </c:tx>
          <c:invertIfNegative val="0"/>
          <c:cat>
            <c:numRef>
              <c:f>Hoja3!$J$23:$Q$23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Hoja3!$J$24:$Q$24</c:f>
              <c:numCache>
                <c:formatCode>General</c:formatCode>
                <c:ptCount val="8"/>
                <c:pt idx="0" formatCode="#,##0">
                  <c:v>16742</c:v>
                </c:pt>
                <c:pt idx="1">
                  <c:v>17736</c:v>
                </c:pt>
                <c:pt idx="2" formatCode="#,##0">
                  <c:v>18217</c:v>
                </c:pt>
                <c:pt idx="3">
                  <c:v>18314</c:v>
                </c:pt>
                <c:pt idx="4" formatCode="#,##0">
                  <c:v>18271</c:v>
                </c:pt>
                <c:pt idx="5" formatCode="#,##0">
                  <c:v>17737</c:v>
                </c:pt>
                <c:pt idx="6" formatCode="#,##0">
                  <c:v>17770</c:v>
                </c:pt>
                <c:pt idx="7">
                  <c:v>17729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86688"/>
        <c:axId val="105588224"/>
      </c:barChart>
      <c:catAx>
        <c:axId val="105586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05588224"/>
        <c:crosses val="autoZero"/>
        <c:auto val="1"/>
        <c:lblAlgn val="ctr"/>
        <c:lblOffset val="100"/>
        <c:noMultiLvlLbl val="0"/>
      </c:catAx>
      <c:valAx>
        <c:axId val="1055882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0558668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s-ES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lang="es-ES"/>
            </a:pPr>
            <a:r>
              <a:rPr lang="es-ES"/>
              <a:t>Asalariados/as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Hoja3!$I$46</c:f>
              <c:strCache>
                <c:ptCount val="1"/>
                <c:pt idx="0">
                  <c:v>asalariados</c:v>
                </c:pt>
              </c:strCache>
            </c:strRef>
          </c:tx>
          <c:invertIfNegative val="0"/>
          <c:cat>
            <c:numRef>
              <c:f>Hoja3!$J$45:$Q$45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Hoja3!$J$46:$Q$46</c:f>
              <c:numCache>
                <c:formatCode>General</c:formatCode>
                <c:ptCount val="8"/>
                <c:pt idx="0" formatCode="#,##0">
                  <c:v>1141811</c:v>
                </c:pt>
                <c:pt idx="1">
                  <c:v>1134854</c:v>
                </c:pt>
                <c:pt idx="2" formatCode="#,##0">
                  <c:v>1092731</c:v>
                </c:pt>
                <c:pt idx="3">
                  <c:v>1067999</c:v>
                </c:pt>
                <c:pt idx="4" formatCode="#,##0">
                  <c:v>1048032</c:v>
                </c:pt>
                <c:pt idx="5" formatCode="#,##0">
                  <c:v>999458</c:v>
                </c:pt>
                <c:pt idx="6" formatCode="#,##0">
                  <c:v>969036</c:v>
                </c:pt>
                <c:pt idx="7">
                  <c:v>968376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5596416"/>
        <c:axId val="105597952"/>
      </c:barChart>
      <c:catAx>
        <c:axId val="1055964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05597952"/>
        <c:crosses val="autoZero"/>
        <c:auto val="1"/>
        <c:lblAlgn val="ctr"/>
        <c:lblOffset val="100"/>
        <c:noMultiLvlLbl val="0"/>
      </c:catAx>
      <c:valAx>
        <c:axId val="10559795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0559641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s-ES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Hoja3!$B$59</c:f>
              <c:strCache>
                <c:ptCount val="1"/>
                <c:pt idx="0">
                  <c:v>Asalariados</c:v>
                </c:pt>
              </c:strCache>
            </c:strRef>
          </c:tx>
          <c:invertIfNegative val="0"/>
          <c:cat>
            <c:strRef>
              <c:f>Hoja3!$A$60:$A$72</c:f>
              <c:strCache>
                <c:ptCount val="13"/>
                <c:pt idx="0">
                  <c:v>De 0 a 0,5 SMI</c:v>
                </c:pt>
                <c:pt idx="1">
                  <c:v>De 0,5 a 1 SMI</c:v>
                </c:pt>
                <c:pt idx="2">
                  <c:v>De 1 a 1,5 SMI</c:v>
                </c:pt>
                <c:pt idx="3">
                  <c:v>De 1,5 a 2 SMI</c:v>
                </c:pt>
                <c:pt idx="4">
                  <c:v>De 2 a 2,5 SMI</c:v>
                </c:pt>
                <c:pt idx="5">
                  <c:v>De 2,5 a 3 SMI</c:v>
                </c:pt>
                <c:pt idx="6">
                  <c:v>De 3 a 3,5 SMI</c:v>
                </c:pt>
                <c:pt idx="7">
                  <c:v>De 3,5 a 4 SMI</c:v>
                </c:pt>
                <c:pt idx="8">
                  <c:v>De 4 a 4,5 SMI</c:v>
                </c:pt>
                <c:pt idx="9">
                  <c:v>De 4,5 a 5 SMI</c:v>
                </c:pt>
                <c:pt idx="10">
                  <c:v>De 5 a 7,5 SMI</c:v>
                </c:pt>
                <c:pt idx="11">
                  <c:v>De 7,5 a 10 SMI</c:v>
                </c:pt>
                <c:pt idx="12">
                  <c:v>Más de 10 SMI</c:v>
                </c:pt>
              </c:strCache>
            </c:strRef>
          </c:cat>
          <c:val>
            <c:numRef>
              <c:f>Hoja3!$B$60:$B$72</c:f>
              <c:numCache>
                <c:formatCode>#,##0</c:formatCode>
                <c:ptCount val="13"/>
                <c:pt idx="0">
                  <c:v>18605</c:v>
                </c:pt>
                <c:pt idx="1">
                  <c:v>-8331</c:v>
                </c:pt>
                <c:pt idx="2">
                  <c:v>-28180</c:v>
                </c:pt>
                <c:pt idx="3">
                  <c:v>-46741</c:v>
                </c:pt>
                <c:pt idx="4">
                  <c:v>-15445</c:v>
                </c:pt>
                <c:pt idx="5">
                  <c:v>-10770</c:v>
                </c:pt>
                <c:pt idx="6">
                  <c:v>-503</c:v>
                </c:pt>
                <c:pt idx="7">
                  <c:v>-3513</c:v>
                </c:pt>
                <c:pt idx="8">
                  <c:v>-3576</c:v>
                </c:pt>
                <c:pt idx="9">
                  <c:v>-10557</c:v>
                </c:pt>
                <c:pt idx="10">
                  <c:v>-9689</c:v>
                </c:pt>
                <c:pt idx="11">
                  <c:v>-3292</c:v>
                </c:pt>
                <c:pt idx="12">
                  <c:v>-2063</c:v>
                </c:pt>
              </c:numCache>
            </c:numRef>
          </c:val>
        </c:ser>
        <c:ser>
          <c:idx val="1"/>
          <c:order val="1"/>
          <c:tx>
            <c:strRef>
              <c:f>Hoja3!$C$59</c:f>
              <c:strCache>
                <c:ptCount val="1"/>
                <c:pt idx="0">
                  <c:v>Salario Medio Anual</c:v>
                </c:pt>
              </c:strCache>
            </c:strRef>
          </c:tx>
          <c:invertIfNegative val="0"/>
          <c:cat>
            <c:strRef>
              <c:f>Hoja3!$A$60:$A$72</c:f>
              <c:strCache>
                <c:ptCount val="13"/>
                <c:pt idx="0">
                  <c:v>De 0 a 0,5 SMI</c:v>
                </c:pt>
                <c:pt idx="1">
                  <c:v>De 0,5 a 1 SMI</c:v>
                </c:pt>
                <c:pt idx="2">
                  <c:v>De 1 a 1,5 SMI</c:v>
                </c:pt>
                <c:pt idx="3">
                  <c:v>De 1,5 a 2 SMI</c:v>
                </c:pt>
                <c:pt idx="4">
                  <c:v>De 2 a 2,5 SMI</c:v>
                </c:pt>
                <c:pt idx="5">
                  <c:v>De 2,5 a 3 SMI</c:v>
                </c:pt>
                <c:pt idx="6">
                  <c:v>De 3 a 3,5 SMI</c:v>
                </c:pt>
                <c:pt idx="7">
                  <c:v>De 3,5 a 4 SMI</c:v>
                </c:pt>
                <c:pt idx="8">
                  <c:v>De 4 a 4,5 SMI</c:v>
                </c:pt>
                <c:pt idx="9">
                  <c:v>De 4,5 a 5 SMI</c:v>
                </c:pt>
                <c:pt idx="10">
                  <c:v>De 5 a 7,5 SMI</c:v>
                </c:pt>
                <c:pt idx="11">
                  <c:v>De 7,5 a 10 SMI</c:v>
                </c:pt>
                <c:pt idx="12">
                  <c:v>Más de 10 SMI</c:v>
                </c:pt>
              </c:strCache>
            </c:strRef>
          </c:cat>
          <c:val>
            <c:numRef>
              <c:f>Hoja3!$C$60:$C$72</c:f>
              <c:numCache>
                <c:formatCode>#,##0</c:formatCode>
                <c:ptCount val="13"/>
                <c:pt idx="0">
                  <c:v>-64</c:v>
                </c:pt>
                <c:pt idx="1">
                  <c:v>203</c:v>
                </c:pt>
                <c:pt idx="2">
                  <c:v>343</c:v>
                </c:pt>
                <c:pt idx="3">
                  <c:v>538</c:v>
                </c:pt>
                <c:pt idx="4">
                  <c:v>680</c:v>
                </c:pt>
                <c:pt idx="5">
                  <c:v>910</c:v>
                </c:pt>
                <c:pt idx="6">
                  <c:v>941</c:v>
                </c:pt>
                <c:pt idx="7">
                  <c:v>1113</c:v>
                </c:pt>
                <c:pt idx="8">
                  <c:v>1126</c:v>
                </c:pt>
                <c:pt idx="9">
                  <c:v>1382</c:v>
                </c:pt>
                <c:pt idx="10">
                  <c:v>2222</c:v>
                </c:pt>
                <c:pt idx="11">
                  <c:v>1934</c:v>
                </c:pt>
                <c:pt idx="12">
                  <c:v>11742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37248"/>
        <c:axId val="106038784"/>
      </c:barChart>
      <c:catAx>
        <c:axId val="1060372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06038784"/>
        <c:crosses val="autoZero"/>
        <c:auto val="1"/>
        <c:lblAlgn val="ctr"/>
        <c:lblOffset val="100"/>
        <c:noMultiLvlLbl val="0"/>
      </c:catAx>
      <c:valAx>
        <c:axId val="10603878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060372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s-ES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Hoja3!$B$130</c:f>
              <c:strCache>
                <c:ptCount val="1"/>
                <c:pt idx="0">
                  <c:v>2.009</c:v>
                </c:pt>
              </c:strCache>
            </c:strRef>
          </c:tx>
          <c:invertIfNegative val="0"/>
          <c:cat>
            <c:strRef>
              <c:f>Hoja3!$A$131:$A$140</c:f>
              <c:strCache>
                <c:ptCount val="10"/>
                <c:pt idx="0">
                  <c:v>Sector primario</c:v>
                </c:pt>
                <c:pt idx="1">
                  <c:v>Ind. Estractivas, Enerxia e auga</c:v>
                </c:pt>
                <c:pt idx="2">
                  <c:v>Industria</c:v>
                </c:pt>
                <c:pt idx="3">
                  <c:v>Construción e servizos inmobiliarios</c:v>
                </c:pt>
                <c:pt idx="4">
                  <c:v>Comercio, reparacións e transporte</c:v>
                </c:pt>
                <c:pt idx="5">
                  <c:v>Información e comunicación</c:v>
                </c:pt>
                <c:pt idx="6">
                  <c:v>Ent. Financeiras e aseguradoras</c:v>
                </c:pt>
                <c:pt idx="7">
                  <c:v>Servizos a empresas</c:v>
                </c:pt>
                <c:pt idx="8">
                  <c:v>Servizos sociais</c:v>
                </c:pt>
                <c:pt idx="9">
                  <c:v>Outros serv. Sociais e de ocio</c:v>
                </c:pt>
              </c:strCache>
            </c:strRef>
          </c:cat>
          <c:val>
            <c:numRef>
              <c:f>Hoja3!$B$131:$B$140</c:f>
              <c:numCache>
                <c:formatCode>#,##0</c:formatCode>
                <c:ptCount val="10"/>
                <c:pt idx="0">
                  <c:v>13807</c:v>
                </c:pt>
                <c:pt idx="1">
                  <c:v>24009</c:v>
                </c:pt>
                <c:pt idx="2">
                  <c:v>18853</c:v>
                </c:pt>
                <c:pt idx="3">
                  <c:v>16361</c:v>
                </c:pt>
                <c:pt idx="4">
                  <c:v>15586</c:v>
                </c:pt>
                <c:pt idx="5">
                  <c:v>21111</c:v>
                </c:pt>
                <c:pt idx="6">
                  <c:v>31938</c:v>
                </c:pt>
                <c:pt idx="7">
                  <c:v>14326</c:v>
                </c:pt>
                <c:pt idx="8">
                  <c:v>24510</c:v>
                </c:pt>
                <c:pt idx="9">
                  <c:v>9128</c:v>
                </c:pt>
              </c:numCache>
            </c:numRef>
          </c:val>
        </c:ser>
        <c:ser>
          <c:idx val="1"/>
          <c:order val="1"/>
          <c:tx>
            <c:strRef>
              <c:f>Hoja3!$C$130</c:f>
              <c:strCache>
                <c:ptCount val="1"/>
                <c:pt idx="0">
                  <c:v>2.014</c:v>
                </c:pt>
              </c:strCache>
            </c:strRef>
          </c:tx>
          <c:invertIfNegative val="0"/>
          <c:cat>
            <c:strRef>
              <c:f>Hoja3!$A$131:$A$140</c:f>
              <c:strCache>
                <c:ptCount val="10"/>
                <c:pt idx="0">
                  <c:v>Sector primario</c:v>
                </c:pt>
                <c:pt idx="1">
                  <c:v>Ind. Estractivas, Enerxia e auga</c:v>
                </c:pt>
                <c:pt idx="2">
                  <c:v>Industria</c:v>
                </c:pt>
                <c:pt idx="3">
                  <c:v>Construción e servizos inmobiliarios</c:v>
                </c:pt>
                <c:pt idx="4">
                  <c:v>Comercio, reparacións e transporte</c:v>
                </c:pt>
                <c:pt idx="5">
                  <c:v>Información e comunicación</c:v>
                </c:pt>
                <c:pt idx="6">
                  <c:v>Ent. Financeiras e aseguradoras</c:v>
                </c:pt>
                <c:pt idx="7">
                  <c:v>Servizos a empresas</c:v>
                </c:pt>
                <c:pt idx="8">
                  <c:v>Servizos sociais</c:v>
                </c:pt>
                <c:pt idx="9">
                  <c:v>Outros serv. Sociais e de ocio</c:v>
                </c:pt>
              </c:strCache>
            </c:strRef>
          </c:cat>
          <c:val>
            <c:numRef>
              <c:f>Hoja3!$C$131:$C$140</c:f>
              <c:numCache>
                <c:formatCode>#,##0</c:formatCode>
                <c:ptCount val="10"/>
                <c:pt idx="0">
                  <c:v>9028</c:v>
                </c:pt>
                <c:pt idx="1">
                  <c:v>26615</c:v>
                </c:pt>
                <c:pt idx="2">
                  <c:v>19967</c:v>
                </c:pt>
                <c:pt idx="3">
                  <c:v>16266</c:v>
                </c:pt>
                <c:pt idx="4">
                  <c:v>16232</c:v>
                </c:pt>
                <c:pt idx="5">
                  <c:v>21258</c:v>
                </c:pt>
                <c:pt idx="6">
                  <c:v>26776</c:v>
                </c:pt>
                <c:pt idx="7">
                  <c:v>14044</c:v>
                </c:pt>
                <c:pt idx="8">
                  <c:v>22699</c:v>
                </c:pt>
                <c:pt idx="9">
                  <c:v>8112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6059264"/>
        <c:axId val="106060800"/>
      </c:barChart>
      <c:catAx>
        <c:axId val="1060592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06060800"/>
        <c:crosses val="autoZero"/>
        <c:auto val="1"/>
        <c:lblAlgn val="ctr"/>
        <c:lblOffset val="100"/>
        <c:noMultiLvlLbl val="0"/>
      </c:catAx>
      <c:valAx>
        <c:axId val="10606080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0605926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s-ES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4208573928258966"/>
          <c:y val="2.8252405949256338E-2"/>
          <c:w val="0.58321981627296549"/>
          <c:h val="0.79822506561679785"/>
        </c:manualLayout>
      </c:layout>
      <c:lineChart>
        <c:grouping val="standard"/>
        <c:varyColors val="0"/>
        <c:ser>
          <c:idx val="0"/>
          <c:order val="0"/>
          <c:tx>
            <c:strRef>
              <c:f>Hoja3!$R$39</c:f>
              <c:strCache>
                <c:ptCount val="1"/>
                <c:pt idx="0">
                  <c:v>salario medio</c:v>
                </c:pt>
              </c:strCache>
            </c:strRef>
          </c:tx>
          <c:marker>
            <c:symbol val="none"/>
          </c:marker>
          <c:cat>
            <c:numRef>
              <c:f>Hoja3!$S$38:$X$38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Hoja3!$S$39:$X$39</c:f>
              <c:numCache>
                <c:formatCode>#,##0</c:formatCode>
                <c:ptCount val="6"/>
                <c:pt idx="0">
                  <c:v>18217</c:v>
                </c:pt>
                <c:pt idx="1">
                  <c:v>18314</c:v>
                </c:pt>
                <c:pt idx="2">
                  <c:v>18271</c:v>
                </c:pt>
                <c:pt idx="3">
                  <c:v>17737</c:v>
                </c:pt>
                <c:pt idx="4">
                  <c:v>17770</c:v>
                </c:pt>
                <c:pt idx="5">
                  <c:v>17729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Hoja3!$R$40</c:f>
              <c:strCache>
                <c:ptCount val="1"/>
                <c:pt idx="0">
                  <c:v>Home</c:v>
                </c:pt>
              </c:strCache>
            </c:strRef>
          </c:tx>
          <c:marker>
            <c:symbol val="none"/>
          </c:marker>
          <c:cat>
            <c:numRef>
              <c:f>Hoja3!$S$38:$X$38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Hoja3!$S$40:$X$40</c:f>
              <c:numCache>
                <c:formatCode>#,##0</c:formatCode>
                <c:ptCount val="6"/>
                <c:pt idx="0">
                  <c:v>20271</c:v>
                </c:pt>
                <c:pt idx="1">
                  <c:v>20408</c:v>
                </c:pt>
                <c:pt idx="2">
                  <c:v>20393</c:v>
                </c:pt>
                <c:pt idx="3">
                  <c:v>19865</c:v>
                </c:pt>
                <c:pt idx="4">
                  <c:v>19820</c:v>
                </c:pt>
                <c:pt idx="5">
                  <c:v>19746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Hoja3!$R$41</c:f>
              <c:strCache>
                <c:ptCount val="1"/>
                <c:pt idx="0">
                  <c:v>Muller</c:v>
                </c:pt>
              </c:strCache>
            </c:strRef>
          </c:tx>
          <c:marker>
            <c:symbol val="none"/>
          </c:marker>
          <c:cat>
            <c:numRef>
              <c:f>Hoja3!$S$38:$X$38</c:f>
              <c:numCache>
                <c:formatCode>General</c:formatCode>
                <c:ptCount val="6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</c:numCache>
            </c:numRef>
          </c:cat>
          <c:val>
            <c:numRef>
              <c:f>Hoja3!$S$41:$X$41</c:f>
              <c:numCache>
                <c:formatCode>#,##0</c:formatCode>
                <c:ptCount val="6"/>
                <c:pt idx="0">
                  <c:v>15594</c:v>
                </c:pt>
                <c:pt idx="1">
                  <c:v>15704</c:v>
                </c:pt>
                <c:pt idx="2">
                  <c:v>15688</c:v>
                </c:pt>
                <c:pt idx="3">
                  <c:v>15227</c:v>
                </c:pt>
                <c:pt idx="4">
                  <c:v>15383</c:v>
                </c:pt>
                <c:pt idx="5">
                  <c:v>15414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6074496"/>
        <c:axId val="106076032"/>
      </c:lineChart>
      <c:catAx>
        <c:axId val="106074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06076032"/>
        <c:crosses val="autoZero"/>
        <c:auto val="1"/>
        <c:lblAlgn val="ctr"/>
        <c:lblOffset val="100"/>
        <c:noMultiLvlLbl val="0"/>
      </c:catAx>
      <c:valAx>
        <c:axId val="10607603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0607449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s-ES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Hoja3!$K$50</c:f>
              <c:strCache>
                <c:ptCount val="1"/>
                <c:pt idx="0">
                  <c:v>2009</c:v>
                </c:pt>
              </c:strCache>
            </c:strRef>
          </c:tx>
          <c:invertIfNegative val="0"/>
          <c:cat>
            <c:strRef>
              <c:f>Hoja3!$J$51:$J$66</c:f>
              <c:strCache>
                <c:ptCount val="16"/>
                <c:pt idx="0">
                  <c:v>Total</c:v>
                </c:pt>
                <c:pt idx="1">
                  <c:v>Andalucía</c:v>
                </c:pt>
                <c:pt idx="2">
                  <c:v>Aragón</c:v>
                </c:pt>
                <c:pt idx="3">
                  <c:v>Principado de Asturias</c:v>
                </c:pt>
                <c:pt idx="4">
                  <c:v>Illes Balears</c:v>
                </c:pt>
                <c:pt idx="5">
                  <c:v>Canarias</c:v>
                </c:pt>
                <c:pt idx="6">
                  <c:v>Cantabria</c:v>
                </c:pt>
                <c:pt idx="7">
                  <c:v>Castela a Mancha</c:v>
                </c:pt>
                <c:pt idx="8">
                  <c:v>Castela e  León</c:v>
                </c:pt>
                <c:pt idx="9">
                  <c:v>Cataluña</c:v>
                </c:pt>
                <c:pt idx="10">
                  <c:v>Extremadura</c:v>
                </c:pt>
                <c:pt idx="11">
                  <c:v>Galicia</c:v>
                </c:pt>
                <c:pt idx="12">
                  <c:v> Madrid</c:v>
                </c:pt>
                <c:pt idx="13">
                  <c:v>Murcia</c:v>
                </c:pt>
                <c:pt idx="14">
                  <c:v>A Rioja</c:v>
                </c:pt>
                <c:pt idx="15">
                  <c:v>Comunidade Valenciana</c:v>
                </c:pt>
              </c:strCache>
            </c:strRef>
          </c:cat>
          <c:val>
            <c:numRef>
              <c:f>Hoja3!$K$51:$K$66</c:f>
              <c:numCache>
                <c:formatCode>#,##0</c:formatCode>
                <c:ptCount val="16"/>
                <c:pt idx="0">
                  <c:v>19085</c:v>
                </c:pt>
                <c:pt idx="1">
                  <c:v>15566</c:v>
                </c:pt>
                <c:pt idx="2">
                  <c:v>19706</c:v>
                </c:pt>
                <c:pt idx="3">
                  <c:v>19824</c:v>
                </c:pt>
                <c:pt idx="4">
                  <c:v>18144</c:v>
                </c:pt>
                <c:pt idx="5">
                  <c:v>16611</c:v>
                </c:pt>
                <c:pt idx="6">
                  <c:v>19588</c:v>
                </c:pt>
                <c:pt idx="7">
                  <c:v>16929</c:v>
                </c:pt>
                <c:pt idx="8">
                  <c:v>18758</c:v>
                </c:pt>
                <c:pt idx="9">
                  <c:v>21261</c:v>
                </c:pt>
                <c:pt idx="10">
                  <c:v>14767</c:v>
                </c:pt>
                <c:pt idx="11">
                  <c:v>18217</c:v>
                </c:pt>
                <c:pt idx="12">
                  <c:v>24583</c:v>
                </c:pt>
                <c:pt idx="13">
                  <c:v>16281</c:v>
                </c:pt>
                <c:pt idx="14">
                  <c:v>18820</c:v>
                </c:pt>
                <c:pt idx="15">
                  <c:v>17303</c:v>
                </c:pt>
              </c:numCache>
            </c:numRef>
          </c:val>
        </c:ser>
        <c:ser>
          <c:idx val="1"/>
          <c:order val="1"/>
          <c:tx>
            <c:strRef>
              <c:f>Hoja3!$L$50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Hoja3!$J$51:$J$66</c:f>
              <c:strCache>
                <c:ptCount val="16"/>
                <c:pt idx="0">
                  <c:v>Total</c:v>
                </c:pt>
                <c:pt idx="1">
                  <c:v>Andalucía</c:v>
                </c:pt>
                <c:pt idx="2">
                  <c:v>Aragón</c:v>
                </c:pt>
                <c:pt idx="3">
                  <c:v>Principado de Asturias</c:v>
                </c:pt>
                <c:pt idx="4">
                  <c:v>Illes Balears</c:v>
                </c:pt>
                <c:pt idx="5">
                  <c:v>Canarias</c:v>
                </c:pt>
                <c:pt idx="6">
                  <c:v>Cantabria</c:v>
                </c:pt>
                <c:pt idx="7">
                  <c:v>Castela a Mancha</c:v>
                </c:pt>
                <c:pt idx="8">
                  <c:v>Castela e  León</c:v>
                </c:pt>
                <c:pt idx="9">
                  <c:v>Cataluña</c:v>
                </c:pt>
                <c:pt idx="10">
                  <c:v>Extremadura</c:v>
                </c:pt>
                <c:pt idx="11">
                  <c:v>Galicia</c:v>
                </c:pt>
                <c:pt idx="12">
                  <c:v> Madrid</c:v>
                </c:pt>
                <c:pt idx="13">
                  <c:v>Murcia</c:v>
                </c:pt>
                <c:pt idx="14">
                  <c:v>A Rioja</c:v>
                </c:pt>
                <c:pt idx="15">
                  <c:v>Comunidade Valenciana</c:v>
                </c:pt>
              </c:strCache>
            </c:strRef>
          </c:cat>
          <c:val>
            <c:numRef>
              <c:f>Hoja3!$L$51:$L$66</c:f>
              <c:numCache>
                <c:formatCode>#,##0</c:formatCode>
                <c:ptCount val="16"/>
                <c:pt idx="0">
                  <c:v>18420</c:v>
                </c:pt>
                <c:pt idx="1">
                  <c:v>14365</c:v>
                </c:pt>
                <c:pt idx="2">
                  <c:v>18895</c:v>
                </c:pt>
                <c:pt idx="3">
                  <c:v>19528</c:v>
                </c:pt>
                <c:pt idx="4">
                  <c:v>17247</c:v>
                </c:pt>
                <c:pt idx="5">
                  <c:v>15995</c:v>
                </c:pt>
                <c:pt idx="6">
                  <c:v>18980</c:v>
                </c:pt>
                <c:pt idx="7">
                  <c:v>16034</c:v>
                </c:pt>
                <c:pt idx="8">
                  <c:v>18058</c:v>
                </c:pt>
                <c:pt idx="9">
                  <c:v>20711</c:v>
                </c:pt>
                <c:pt idx="10">
                  <c:v>13559</c:v>
                </c:pt>
                <c:pt idx="11">
                  <c:v>17729</c:v>
                </c:pt>
                <c:pt idx="12">
                  <c:v>24576</c:v>
                </c:pt>
                <c:pt idx="13">
                  <c:v>15621</c:v>
                </c:pt>
                <c:pt idx="14">
                  <c:v>18354</c:v>
                </c:pt>
                <c:pt idx="15">
                  <c:v>16756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538112"/>
        <c:axId val="108539904"/>
      </c:barChart>
      <c:catAx>
        <c:axId val="108538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08539904"/>
        <c:crosses val="autoZero"/>
        <c:auto val="1"/>
        <c:lblAlgn val="ctr"/>
        <c:lblOffset val="100"/>
        <c:noMultiLvlLbl val="0"/>
      </c:catAx>
      <c:valAx>
        <c:axId val="1085399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lang="es-ES"/>
            </a:pPr>
            <a:endParaRPr lang="es-ES"/>
          </a:p>
        </c:txPr>
        <c:crossAx val="10853811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lang="es-ES"/>
          </a:pPr>
          <a:endParaRPr lang="es-ES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99D0E-96D0-4803-97B9-B98C59BC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Sermos</cp:lastModifiedBy>
  <cp:revision>2</cp:revision>
  <cp:lastPrinted>2015-12-09T12:05:00Z</cp:lastPrinted>
  <dcterms:created xsi:type="dcterms:W3CDTF">2015-12-11T11:56:00Z</dcterms:created>
  <dcterms:modified xsi:type="dcterms:W3CDTF">2015-12-11T11:56:00Z</dcterms:modified>
</cp:coreProperties>
</file>